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2012D8" w:rsidRDefault="002012D8">
      <w:pPr>
        <w:widowControl w:val="0"/>
        <w:pBdr>
          <w:top w:val="nil"/>
          <w:left w:val="nil"/>
          <w:bottom w:val="nil"/>
          <w:right w:val="nil"/>
          <w:between w:val="nil"/>
        </w:pBdr>
        <w:spacing w:line="276" w:lineRule="auto"/>
        <w:rPr>
          <w:color w:val="000000"/>
          <w:sz w:val="22"/>
          <w:szCs w:val="22"/>
        </w:rPr>
      </w:pPr>
    </w:p>
    <w:tbl>
      <w:tblPr>
        <w:tblStyle w:val="a"/>
        <w:tblW w:w="10755" w:type="dxa"/>
        <w:tblInd w:w="-907"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3420"/>
        <w:gridCol w:w="4215"/>
        <w:gridCol w:w="3120"/>
      </w:tblGrid>
      <w:tr w:rsidR="002012D8" w14:paraId="0B15420C" w14:textId="77777777">
        <w:trPr>
          <w:trHeight w:val="97"/>
        </w:trPr>
        <w:tc>
          <w:tcPr>
            <w:tcW w:w="3420" w:type="dxa"/>
            <w:tcBorders>
              <w:top w:val="single" w:sz="4" w:space="0" w:color="000000"/>
              <w:bottom w:val="single" w:sz="4" w:space="0" w:color="000000"/>
              <w:right w:val="single" w:sz="4" w:space="0" w:color="000000"/>
            </w:tcBorders>
            <w:shd w:val="clear" w:color="auto" w:fill="154A8A"/>
            <w:vAlign w:val="center"/>
          </w:tcPr>
          <w:p w14:paraId="00000002" w14:textId="77777777" w:rsidR="002012D8" w:rsidRDefault="0019396C">
            <w:pPr>
              <w:pStyle w:val="Ttulo2"/>
              <w:ind w:right="72"/>
              <w:jc w:val="left"/>
              <w:rPr>
                <w:rFonts w:ascii="Arial Narrow" w:eastAsia="Arial Narrow" w:hAnsi="Arial Narrow" w:cs="Arial Narrow"/>
                <w:color w:val="FFFFFF"/>
                <w:sz w:val="22"/>
                <w:szCs w:val="22"/>
              </w:rPr>
            </w:pPr>
            <w:r>
              <w:rPr>
                <w:rFonts w:ascii="Arial Narrow" w:eastAsia="Arial Narrow" w:hAnsi="Arial Narrow" w:cs="Arial Narrow"/>
                <w:color w:val="FFFFFF"/>
                <w:sz w:val="22"/>
                <w:szCs w:val="22"/>
              </w:rPr>
              <w:t>Entidad originadora:</w:t>
            </w:r>
          </w:p>
        </w:tc>
        <w:tc>
          <w:tcPr>
            <w:tcW w:w="7335" w:type="dxa"/>
            <w:gridSpan w:val="2"/>
            <w:tcBorders>
              <w:top w:val="single" w:sz="4" w:space="0" w:color="000000"/>
              <w:left w:val="single" w:sz="4" w:space="0" w:color="000000"/>
              <w:bottom w:val="single" w:sz="4" w:space="0" w:color="000000"/>
            </w:tcBorders>
            <w:shd w:val="clear" w:color="auto" w:fill="FFFFFF"/>
            <w:vAlign w:val="center"/>
          </w:tcPr>
          <w:p w14:paraId="00000003" w14:textId="77777777" w:rsidR="002012D8" w:rsidRDefault="0019396C">
            <w:pPr>
              <w:pStyle w:val="Ttulo2"/>
              <w:ind w:left="72" w:right="72"/>
              <w:jc w:val="left"/>
              <w:rPr>
                <w:rFonts w:ascii="Arial Narrow" w:eastAsia="Arial Narrow" w:hAnsi="Arial Narrow" w:cs="Arial Narrow"/>
                <w:b w:val="0"/>
                <w:bCs w:val="0"/>
                <w:i/>
                <w:iCs/>
                <w:color w:val="808080"/>
                <w:sz w:val="22"/>
                <w:szCs w:val="22"/>
              </w:rPr>
            </w:pPr>
            <w:r>
              <w:rPr>
                <w:rFonts w:ascii="Arial Narrow" w:eastAsia="Arial Narrow" w:hAnsi="Arial Narrow" w:cs="Arial Narrow"/>
                <w:b w:val="0"/>
                <w:bCs w:val="0"/>
                <w:sz w:val="22"/>
                <w:szCs w:val="22"/>
              </w:rPr>
              <w:t>Ministerio de Ambiente y Desarrollo Sostenible – Parques Nacionales Naturales de Colombia</w:t>
            </w:r>
          </w:p>
        </w:tc>
      </w:tr>
      <w:tr w:rsidR="002012D8" w14:paraId="49938406" w14:textId="77777777">
        <w:trPr>
          <w:trHeight w:val="97"/>
        </w:trPr>
        <w:tc>
          <w:tcPr>
            <w:tcW w:w="3420" w:type="dxa"/>
            <w:tcBorders>
              <w:top w:val="single" w:sz="4" w:space="0" w:color="000000"/>
              <w:bottom w:val="single" w:sz="4" w:space="0" w:color="000000"/>
              <w:right w:val="single" w:sz="4" w:space="0" w:color="000000"/>
            </w:tcBorders>
            <w:shd w:val="clear" w:color="auto" w:fill="154A8A"/>
            <w:vAlign w:val="center"/>
          </w:tcPr>
          <w:p w14:paraId="00000005" w14:textId="77777777" w:rsidR="002012D8" w:rsidRDefault="0019396C">
            <w:pPr>
              <w:pStyle w:val="Ttulo2"/>
              <w:ind w:right="72"/>
              <w:jc w:val="left"/>
              <w:rPr>
                <w:rFonts w:ascii="Arial Narrow" w:eastAsia="Arial Narrow" w:hAnsi="Arial Narrow" w:cs="Arial Narrow"/>
                <w:color w:val="FFFFFF"/>
                <w:sz w:val="22"/>
                <w:szCs w:val="22"/>
              </w:rPr>
            </w:pPr>
            <w:r>
              <w:rPr>
                <w:rFonts w:ascii="Arial Narrow" w:eastAsia="Arial Narrow" w:hAnsi="Arial Narrow" w:cs="Arial Narrow"/>
                <w:color w:val="FFFFFF"/>
                <w:sz w:val="22"/>
                <w:szCs w:val="22"/>
              </w:rPr>
              <w:t>Fecha (</w:t>
            </w:r>
            <w:proofErr w:type="spellStart"/>
            <w:r>
              <w:rPr>
                <w:rFonts w:ascii="Arial Narrow" w:eastAsia="Arial Narrow" w:hAnsi="Arial Narrow" w:cs="Arial Narrow"/>
                <w:color w:val="FFFFFF"/>
                <w:sz w:val="22"/>
                <w:szCs w:val="22"/>
              </w:rPr>
              <w:t>dd</w:t>
            </w:r>
            <w:proofErr w:type="spellEnd"/>
            <w:r>
              <w:rPr>
                <w:rFonts w:ascii="Arial Narrow" w:eastAsia="Arial Narrow" w:hAnsi="Arial Narrow" w:cs="Arial Narrow"/>
                <w:color w:val="FFFFFF"/>
                <w:sz w:val="22"/>
                <w:szCs w:val="22"/>
              </w:rPr>
              <w:t>/mm/</w:t>
            </w:r>
            <w:proofErr w:type="spellStart"/>
            <w:r>
              <w:rPr>
                <w:rFonts w:ascii="Arial Narrow" w:eastAsia="Arial Narrow" w:hAnsi="Arial Narrow" w:cs="Arial Narrow"/>
                <w:color w:val="FFFFFF"/>
                <w:sz w:val="22"/>
                <w:szCs w:val="22"/>
              </w:rPr>
              <w:t>aa</w:t>
            </w:r>
            <w:proofErr w:type="spellEnd"/>
            <w:r>
              <w:rPr>
                <w:rFonts w:ascii="Arial Narrow" w:eastAsia="Arial Narrow" w:hAnsi="Arial Narrow" w:cs="Arial Narrow"/>
                <w:color w:val="FFFFFF"/>
                <w:sz w:val="22"/>
                <w:szCs w:val="22"/>
              </w:rPr>
              <w:t>):</w:t>
            </w:r>
          </w:p>
        </w:tc>
        <w:tc>
          <w:tcPr>
            <w:tcW w:w="7335" w:type="dxa"/>
            <w:gridSpan w:val="2"/>
            <w:tcBorders>
              <w:top w:val="single" w:sz="4" w:space="0" w:color="000000"/>
              <w:left w:val="single" w:sz="4" w:space="0" w:color="000000"/>
              <w:bottom w:val="single" w:sz="4" w:space="0" w:color="000000"/>
            </w:tcBorders>
            <w:shd w:val="clear" w:color="auto" w:fill="FFFFFF"/>
            <w:vAlign w:val="center"/>
          </w:tcPr>
          <w:p w14:paraId="00000006" w14:textId="77777777" w:rsidR="002012D8" w:rsidRDefault="0019396C">
            <w:pPr>
              <w:pStyle w:val="Ttulo2"/>
              <w:ind w:left="72" w:right="72"/>
              <w:jc w:val="left"/>
              <w:rPr>
                <w:rFonts w:ascii="Arial Narrow" w:eastAsia="Arial Narrow" w:hAnsi="Arial Narrow" w:cs="Arial Narrow"/>
                <w:b w:val="0"/>
                <w:bCs w:val="0"/>
                <w:sz w:val="22"/>
                <w:szCs w:val="22"/>
              </w:rPr>
            </w:pPr>
            <w:r>
              <w:rPr>
                <w:rFonts w:ascii="Arial Narrow" w:eastAsia="Arial Narrow" w:hAnsi="Arial Narrow" w:cs="Arial Narrow"/>
                <w:b w:val="0"/>
                <w:bCs w:val="0"/>
                <w:sz w:val="22"/>
                <w:szCs w:val="22"/>
              </w:rPr>
              <w:t>Julio de 2026</w:t>
            </w:r>
          </w:p>
        </w:tc>
      </w:tr>
      <w:tr w:rsidR="002012D8" w14:paraId="3B3CC6D4" w14:textId="77777777">
        <w:trPr>
          <w:trHeight w:val="97"/>
        </w:trPr>
        <w:tc>
          <w:tcPr>
            <w:tcW w:w="3420" w:type="dxa"/>
            <w:tcBorders>
              <w:top w:val="single" w:sz="4" w:space="0" w:color="000000"/>
              <w:bottom w:val="single" w:sz="4" w:space="0" w:color="000000"/>
              <w:right w:val="single" w:sz="4" w:space="0" w:color="000000"/>
            </w:tcBorders>
            <w:shd w:val="clear" w:color="auto" w:fill="154A8A"/>
            <w:vAlign w:val="center"/>
          </w:tcPr>
          <w:p w14:paraId="00000008" w14:textId="77777777" w:rsidR="002012D8" w:rsidRDefault="0019396C">
            <w:pPr>
              <w:pStyle w:val="Ttulo2"/>
              <w:ind w:right="72"/>
              <w:jc w:val="left"/>
              <w:rPr>
                <w:rFonts w:ascii="Arial Narrow" w:eastAsia="Arial Narrow" w:hAnsi="Arial Narrow" w:cs="Arial Narrow"/>
                <w:color w:val="FFFFFF"/>
                <w:sz w:val="22"/>
                <w:szCs w:val="22"/>
              </w:rPr>
            </w:pPr>
            <w:r>
              <w:rPr>
                <w:rFonts w:ascii="Arial Narrow" w:eastAsia="Arial Narrow" w:hAnsi="Arial Narrow" w:cs="Arial Narrow"/>
                <w:color w:val="FFFFFF"/>
                <w:sz w:val="22"/>
                <w:szCs w:val="22"/>
              </w:rPr>
              <w:t>Proyecto de Decreto/Resolución:</w:t>
            </w:r>
          </w:p>
        </w:tc>
        <w:tc>
          <w:tcPr>
            <w:tcW w:w="7335" w:type="dxa"/>
            <w:gridSpan w:val="2"/>
            <w:tcBorders>
              <w:top w:val="single" w:sz="4" w:space="0" w:color="000000"/>
              <w:left w:val="single" w:sz="4" w:space="0" w:color="000000"/>
              <w:bottom w:val="single" w:sz="4" w:space="0" w:color="000000"/>
            </w:tcBorders>
            <w:shd w:val="clear" w:color="auto" w:fill="FFFFFF"/>
            <w:vAlign w:val="center"/>
          </w:tcPr>
          <w:p w14:paraId="00000009" w14:textId="77777777" w:rsidR="002012D8" w:rsidRDefault="0019396C">
            <w:pPr>
              <w:pStyle w:val="Ttulo2"/>
              <w:ind w:left="72" w:right="72"/>
              <w:jc w:val="left"/>
              <w:rPr>
                <w:rFonts w:ascii="Arial Narrow" w:eastAsia="Arial Narrow" w:hAnsi="Arial Narrow" w:cs="Arial Narrow"/>
                <w:b w:val="0"/>
                <w:bCs w:val="0"/>
                <w:sz w:val="22"/>
                <w:szCs w:val="22"/>
              </w:rPr>
            </w:pPr>
            <w:r>
              <w:rPr>
                <w:rFonts w:ascii="Arial Narrow" w:eastAsia="Arial Narrow" w:hAnsi="Arial Narrow" w:cs="Arial Narrow"/>
                <w:b w:val="0"/>
                <w:bCs w:val="0"/>
                <w:sz w:val="22"/>
                <w:szCs w:val="22"/>
              </w:rPr>
              <w:t xml:space="preserve">PROYECTO DE RESOLUCIÓN “Por la cual se declara, reserva, delimita y alindera el Santuario de Flora Palmares de </w:t>
            </w:r>
            <w:proofErr w:type="spellStart"/>
            <w:r>
              <w:rPr>
                <w:rFonts w:ascii="Arial Narrow" w:eastAsia="Arial Narrow" w:hAnsi="Arial Narrow" w:cs="Arial Narrow"/>
                <w:b w:val="0"/>
                <w:bCs w:val="0"/>
                <w:sz w:val="22"/>
                <w:szCs w:val="22"/>
              </w:rPr>
              <w:t>Tochecito</w:t>
            </w:r>
            <w:proofErr w:type="spellEnd"/>
            <w:r>
              <w:rPr>
                <w:rFonts w:ascii="Arial Narrow" w:eastAsia="Arial Narrow" w:hAnsi="Arial Narrow" w:cs="Arial Narrow"/>
                <w:b w:val="0"/>
                <w:bCs w:val="0"/>
                <w:sz w:val="22"/>
                <w:szCs w:val="22"/>
              </w:rPr>
              <w:t>, en jurisdicción de los municipios de Cajamarca e Ibagué, departamento del Tolima”</w:t>
            </w:r>
          </w:p>
        </w:tc>
      </w:tr>
      <w:tr w:rsidR="002012D8" w14:paraId="25A47508" w14:textId="77777777">
        <w:trPr>
          <w:trHeight w:val="674"/>
        </w:trPr>
        <w:tc>
          <w:tcPr>
            <w:tcW w:w="10755" w:type="dxa"/>
            <w:gridSpan w:val="3"/>
            <w:tcBorders>
              <w:top w:val="single" w:sz="4" w:space="0" w:color="000000"/>
            </w:tcBorders>
            <w:shd w:val="clear" w:color="auto" w:fill="FFFFFF"/>
            <w:vAlign w:val="center"/>
          </w:tcPr>
          <w:p w14:paraId="0000000B" w14:textId="77777777" w:rsidR="002012D8" w:rsidRDefault="0019396C">
            <w:pPr>
              <w:numPr>
                <w:ilvl w:val="0"/>
                <w:numId w:val="2"/>
              </w:numP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ANTECEDENTES Y RAZONES DE OPORTUNIDAD Y CONVENIENCIA QUE JUSTIFICAN SU EXPEDICIÓN.</w:t>
            </w:r>
          </w:p>
        </w:tc>
      </w:tr>
      <w:tr w:rsidR="002012D8" w14:paraId="312A685B" w14:textId="77777777">
        <w:trPr>
          <w:trHeight w:val="47"/>
        </w:trPr>
        <w:tc>
          <w:tcPr>
            <w:tcW w:w="10755" w:type="dxa"/>
            <w:gridSpan w:val="3"/>
            <w:shd w:val="clear" w:color="auto" w:fill="FFFFFF"/>
            <w:vAlign w:val="center"/>
          </w:tcPr>
          <w:p w14:paraId="0000000E" w14:textId="77777777" w:rsidR="002012D8" w:rsidRDefault="0019396C">
            <w:pPr>
              <w:spacing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El presente proyecto de resolución tiene por objeto declarar, reservar, delimitar y alinderar el Santuario de Flora Palmares de </w:t>
            </w:r>
            <w:proofErr w:type="spellStart"/>
            <w:r>
              <w:rPr>
                <w:rFonts w:ascii="Arial Narrow" w:eastAsia="Arial Narrow" w:hAnsi="Arial Narrow" w:cs="Arial Narrow"/>
                <w:sz w:val="24"/>
                <w:szCs w:val="24"/>
              </w:rPr>
              <w:t>Tochecito</w:t>
            </w:r>
            <w:proofErr w:type="spellEnd"/>
            <w:r>
              <w:rPr>
                <w:rFonts w:ascii="Arial Narrow" w:eastAsia="Arial Narrow" w:hAnsi="Arial Narrow" w:cs="Arial Narrow"/>
                <w:sz w:val="24"/>
                <w:szCs w:val="24"/>
              </w:rPr>
              <w:t>, en jurisdicción de los municipios de Cajamarca e Ibagué, departamento del Tolima, como área integrante del Sistema de Parques Nacionales Naturales de Colombia, en cumplimiento de los deberes constitucionales y legales de protección del patrimonio natural y cultural de la Nación, así como de los compromisos nacionales e internacionales en materia de conservación de la biodiversidad.</w:t>
            </w:r>
          </w:p>
          <w:p w14:paraId="0000000F" w14:textId="77777777" w:rsidR="002012D8" w:rsidRDefault="0019396C">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El área propuesta se localiza en la cuenca alta del río </w:t>
            </w:r>
            <w:proofErr w:type="spellStart"/>
            <w:r>
              <w:rPr>
                <w:rFonts w:ascii="Arial Narrow" w:eastAsia="Arial Narrow" w:hAnsi="Arial Narrow" w:cs="Arial Narrow"/>
                <w:sz w:val="24"/>
                <w:szCs w:val="24"/>
              </w:rPr>
              <w:t>Tochecito</w:t>
            </w:r>
            <w:proofErr w:type="spellEnd"/>
            <w:r>
              <w:rPr>
                <w:rFonts w:ascii="Arial Narrow" w:eastAsia="Arial Narrow" w:hAnsi="Arial Narrow" w:cs="Arial Narrow"/>
                <w:sz w:val="24"/>
                <w:szCs w:val="24"/>
              </w:rPr>
              <w:t>, en la vertiente oriental de la Cordillera Central colombiana, y comprende aproximadamente 1.964,02 hectáreas que albergan una muestra de las concentraciones más importantes de palma de cera del Quindío (</w:t>
            </w:r>
            <w:proofErr w:type="spellStart"/>
            <w:r>
              <w:rPr>
                <w:rFonts w:ascii="Arial Narrow" w:eastAsia="Arial Narrow" w:hAnsi="Arial Narrow" w:cs="Arial Narrow"/>
                <w:i/>
                <w:iCs/>
                <w:sz w:val="24"/>
                <w:szCs w:val="24"/>
              </w:rPr>
              <w:t>Ceroxylon</w:t>
            </w:r>
            <w:proofErr w:type="spellEnd"/>
            <w:r>
              <w:rPr>
                <w:rFonts w:ascii="Arial Narrow" w:eastAsia="Arial Narrow" w:hAnsi="Arial Narrow" w:cs="Arial Narrow"/>
                <w:i/>
                <w:iCs/>
                <w:sz w:val="24"/>
                <w:szCs w:val="24"/>
              </w:rPr>
              <w:t xml:space="preserve"> </w:t>
            </w:r>
            <w:proofErr w:type="spellStart"/>
            <w:r>
              <w:rPr>
                <w:rFonts w:ascii="Arial Narrow" w:eastAsia="Arial Narrow" w:hAnsi="Arial Narrow" w:cs="Arial Narrow"/>
                <w:i/>
                <w:iCs/>
                <w:sz w:val="24"/>
                <w:szCs w:val="24"/>
              </w:rPr>
              <w:t>quindiuense</w:t>
            </w:r>
            <w:proofErr w:type="spellEnd"/>
            <w:r>
              <w:rPr>
                <w:rFonts w:ascii="Arial Narrow" w:eastAsia="Arial Narrow" w:hAnsi="Arial Narrow" w:cs="Arial Narrow"/>
                <w:sz w:val="24"/>
                <w:szCs w:val="24"/>
              </w:rPr>
              <w:t>) existentes en el país. Esta especie fue declarada Árbol Nacional y Símbolo Patrio mediante la Ley 61 de 1985, norma que además facultó al Gobierno Nacional para constituir parques nacionales o santuarios de flora destinados a garantizar su conservación y permanencia en su hábitat natural.</w:t>
            </w:r>
          </w:p>
          <w:p w14:paraId="00000010" w14:textId="77777777" w:rsidR="002012D8" w:rsidRDefault="0019396C">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Los estudios técnicos, sociales y ambientales adelantados por </w:t>
            </w:r>
            <w:r>
              <w:rPr>
                <w:rFonts w:ascii="Arial Narrow" w:eastAsia="Arial Narrow" w:hAnsi="Arial Narrow" w:cs="Arial Narrow"/>
                <w:sz w:val="22"/>
                <w:szCs w:val="22"/>
              </w:rPr>
              <w:t>el Instituto Humboldt, CORTOLIMA y</w:t>
            </w:r>
            <w:r>
              <w:rPr>
                <w:rFonts w:ascii="Arial Narrow" w:eastAsia="Arial Narrow" w:hAnsi="Arial Narrow" w:cs="Arial Narrow"/>
                <w:sz w:val="24"/>
                <w:szCs w:val="24"/>
              </w:rPr>
              <w:t xml:space="preserve"> Parques Nacionales Naturales de Colombia, en el marco de la Ruta para la Declaratoria de Áreas Protegidas, evidenciaron que el área reúne condiciones excepcionales de representatividad ecológica, integridad ecosistémica y valor estratégico para la conservación. En ella se encuentran muestras de ecosistemas andinos y altoandinos que contribuyen a la conectividad ecológica de la Cordillera Central, constituyen un núcleo de conservación de la palma de cera del Quindío y hacen parte de una Área Clave para la Biodiversidad (KBA) reconocida internacionalmente.</w:t>
            </w:r>
          </w:p>
          <w:p w14:paraId="00000011" w14:textId="77777777" w:rsidR="002012D8" w:rsidRDefault="0019396C">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El área a declarar se ubica dentro de la subcuenca del río </w:t>
            </w:r>
            <w:proofErr w:type="spellStart"/>
            <w:r>
              <w:rPr>
                <w:rFonts w:ascii="Arial Narrow" w:eastAsia="Arial Narrow" w:hAnsi="Arial Narrow" w:cs="Arial Narrow"/>
                <w:sz w:val="24"/>
                <w:szCs w:val="24"/>
              </w:rPr>
              <w:t>Tochecito</w:t>
            </w:r>
            <w:proofErr w:type="spellEnd"/>
            <w:r>
              <w:rPr>
                <w:rFonts w:ascii="Arial Narrow" w:eastAsia="Arial Narrow" w:hAnsi="Arial Narrow" w:cs="Arial Narrow"/>
                <w:sz w:val="24"/>
                <w:szCs w:val="24"/>
              </w:rPr>
              <w:t xml:space="preserve"> que hace parte de la cuenca del río </w:t>
            </w:r>
            <w:proofErr w:type="spellStart"/>
            <w:r>
              <w:rPr>
                <w:rFonts w:ascii="Arial Narrow" w:eastAsia="Arial Narrow" w:hAnsi="Arial Narrow" w:cs="Arial Narrow"/>
                <w:sz w:val="24"/>
                <w:szCs w:val="24"/>
              </w:rPr>
              <w:t>Tochecito</w:t>
            </w:r>
            <w:proofErr w:type="spellEnd"/>
            <w:r>
              <w:rPr>
                <w:rFonts w:ascii="Arial Narrow" w:eastAsia="Arial Narrow" w:hAnsi="Arial Narrow" w:cs="Arial Narrow"/>
                <w:sz w:val="24"/>
                <w:szCs w:val="24"/>
              </w:rPr>
              <w:t>, ambas ubicadas en la parte alta del río Coello, uno de los principales ríos del Tolima, en la vertiente oriental de la cordillera central, entre los municipios de Cajamarca e Ibagué (Tolima) con un área de 1.964,02 hectáreas,  sobre las veredas Alto Toche y La Ceja, colinda con el DRMI de la Cuenca Alta del Río Quindío de Salento y la RNSC Santuario de la Palma de Cera y cerca del Parque Nacional Natural Los Nevados (Ver Figura 1).</w:t>
            </w:r>
          </w:p>
          <w:p w14:paraId="00000012" w14:textId="77777777" w:rsidR="002012D8" w:rsidRDefault="0019396C">
            <w:pPr>
              <w:spacing w:before="280" w:after="280"/>
              <w:jc w:val="center"/>
              <w:rPr>
                <w:color w:val="282828"/>
                <w:sz w:val="22"/>
                <w:szCs w:val="22"/>
              </w:rPr>
            </w:pPr>
            <w:r>
              <w:rPr>
                <w:noProof/>
                <w:color w:val="282828"/>
                <w:sz w:val="22"/>
                <w:szCs w:val="22"/>
              </w:rPr>
              <w:lastRenderedPageBreak/>
              <w:drawing>
                <wp:inline distT="0" distB="0" distL="0" distR="0" wp14:anchorId="5AC5F93D" wp14:editId="77F7838E">
                  <wp:extent cx="4547870" cy="3212465"/>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4547870" cy="3212465"/>
                          </a:xfrm>
                          <a:prstGeom prst="rect">
                            <a:avLst/>
                          </a:prstGeom>
                          <a:ln/>
                        </pic:spPr>
                      </pic:pic>
                    </a:graphicData>
                  </a:graphic>
                </wp:inline>
              </w:drawing>
            </w:r>
          </w:p>
          <w:p w14:paraId="00000013" w14:textId="77777777" w:rsidR="002012D8" w:rsidRDefault="0019396C">
            <w:pPr>
              <w:spacing w:before="280" w:after="280"/>
              <w:jc w:val="center"/>
              <w:rPr>
                <w:rFonts w:ascii="Arial Narrow" w:eastAsia="Arial Narrow" w:hAnsi="Arial Narrow" w:cs="Arial Narrow"/>
                <w:sz w:val="22"/>
                <w:szCs w:val="22"/>
              </w:rPr>
            </w:pPr>
            <w:r>
              <w:rPr>
                <w:rFonts w:ascii="Arial Narrow" w:eastAsia="Arial Narrow" w:hAnsi="Arial Narrow" w:cs="Arial Narrow"/>
                <w:color w:val="282828"/>
              </w:rPr>
              <w:t xml:space="preserve">Figura 1. Propuesta de área protegida de los Palmares de </w:t>
            </w:r>
            <w:proofErr w:type="spellStart"/>
            <w:r>
              <w:rPr>
                <w:rFonts w:ascii="Arial Narrow" w:eastAsia="Arial Narrow" w:hAnsi="Arial Narrow" w:cs="Arial Narrow"/>
                <w:color w:val="282828"/>
              </w:rPr>
              <w:t>Tochecito</w:t>
            </w:r>
            <w:proofErr w:type="spellEnd"/>
          </w:p>
          <w:p w14:paraId="00000014" w14:textId="77777777" w:rsidR="002012D8" w:rsidRDefault="0019396C">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Asimismo, el territorio alberga una importante diversidad biológica asociada a los palmares y bosques andinos, incluyendo especies endémicas, raras y amenazadas, entre ellas el loro orejiamarillo (</w:t>
            </w:r>
            <w:proofErr w:type="spellStart"/>
            <w:r>
              <w:rPr>
                <w:rFonts w:ascii="Arial Narrow" w:eastAsia="Arial Narrow" w:hAnsi="Arial Narrow" w:cs="Arial Narrow"/>
                <w:i/>
                <w:iCs/>
                <w:sz w:val="24"/>
                <w:szCs w:val="24"/>
              </w:rPr>
              <w:t>Ognorhynchus</w:t>
            </w:r>
            <w:proofErr w:type="spellEnd"/>
            <w:r>
              <w:rPr>
                <w:rFonts w:ascii="Arial Narrow" w:eastAsia="Arial Narrow" w:hAnsi="Arial Narrow" w:cs="Arial Narrow"/>
                <w:i/>
                <w:iCs/>
                <w:sz w:val="24"/>
                <w:szCs w:val="24"/>
              </w:rPr>
              <w:t xml:space="preserve"> </w:t>
            </w:r>
            <w:proofErr w:type="spellStart"/>
            <w:r>
              <w:rPr>
                <w:rFonts w:ascii="Arial Narrow" w:eastAsia="Arial Narrow" w:hAnsi="Arial Narrow" w:cs="Arial Narrow"/>
                <w:i/>
                <w:iCs/>
                <w:sz w:val="24"/>
                <w:szCs w:val="24"/>
              </w:rPr>
              <w:t>icterotis</w:t>
            </w:r>
            <w:proofErr w:type="spellEnd"/>
            <w:r>
              <w:rPr>
                <w:rFonts w:ascii="Arial Narrow" w:eastAsia="Arial Narrow" w:hAnsi="Arial Narrow" w:cs="Arial Narrow"/>
                <w:sz w:val="24"/>
                <w:szCs w:val="24"/>
              </w:rPr>
              <w:t xml:space="preserve">), cuya supervivencia depende de la conservación de estos ecosistemas. De igual manera, los ecosistemas presentes en la cuenca alta del río </w:t>
            </w:r>
            <w:proofErr w:type="spellStart"/>
            <w:r>
              <w:rPr>
                <w:rFonts w:ascii="Arial Narrow" w:eastAsia="Arial Narrow" w:hAnsi="Arial Narrow" w:cs="Arial Narrow"/>
                <w:sz w:val="24"/>
                <w:szCs w:val="24"/>
              </w:rPr>
              <w:t>Tochecito</w:t>
            </w:r>
            <w:proofErr w:type="spellEnd"/>
            <w:r>
              <w:rPr>
                <w:rFonts w:ascii="Arial Narrow" w:eastAsia="Arial Narrow" w:hAnsi="Arial Narrow" w:cs="Arial Narrow"/>
                <w:sz w:val="24"/>
                <w:szCs w:val="24"/>
              </w:rPr>
              <w:t xml:space="preserve"> prestan servicios ecosistémicos esenciales relacionados con la regulación hídrica, la protección de suelos, la captura y almacenamiento de carbono, la conservación de la biodiversidad y la adaptación al cambio climático.</w:t>
            </w:r>
          </w:p>
          <w:p w14:paraId="00000015" w14:textId="77777777" w:rsidR="002012D8" w:rsidRDefault="0019396C">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Desde el punto de vista cultural e histórico, el área posee especial relevancia por su asociación con el antiguo Camino Nacional o Camino del Quindío, corredor histórico que durante siglos articuló el centro y occidente del país y que constituye un elemento representativo del patrimonio cultural colombiano. Igualmente, el proceso de declaratoria ha contado con la </w:t>
            </w:r>
            <w:proofErr w:type="gramStart"/>
            <w:r>
              <w:rPr>
                <w:rFonts w:ascii="Arial Narrow" w:eastAsia="Arial Narrow" w:hAnsi="Arial Narrow" w:cs="Arial Narrow"/>
                <w:sz w:val="24"/>
                <w:szCs w:val="24"/>
              </w:rPr>
              <w:t>participación activa</w:t>
            </w:r>
            <w:proofErr w:type="gramEnd"/>
            <w:r>
              <w:rPr>
                <w:rFonts w:ascii="Arial Narrow" w:eastAsia="Arial Narrow" w:hAnsi="Arial Narrow" w:cs="Arial Narrow"/>
                <w:sz w:val="24"/>
                <w:szCs w:val="24"/>
              </w:rPr>
              <w:t xml:space="preserve"> de las comunidades locales, promoviendo acuerdos voluntarios de conservación, fortaleciendo la gobernanza territorial y generando condiciones favorables para la gestión efectiva del área protegida.</w:t>
            </w:r>
          </w:p>
          <w:p w14:paraId="00000016" w14:textId="77777777" w:rsidR="002012D8" w:rsidRDefault="0019396C">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oportunidad de expedir la presente resolución se sustenta también en la necesidad de adoptar medidas permanentes y estructurales de conservación frente a las presiones que actualmente afectan el territorio, entre las que se encuentran la expansión de la frontera agropecuaria, la ganadería extensiva, las quemas, la tala selectiva, el turismo no planificado y otros procesos de transformación del paisaje que comprometen la viabilidad de las poblaciones de palma de cera y de los ecosistemas asociados.</w:t>
            </w:r>
          </w:p>
          <w:p w14:paraId="00000017" w14:textId="77777777" w:rsidR="002012D8" w:rsidRDefault="002012D8">
            <w:pPr>
              <w:spacing w:before="280" w:after="280"/>
              <w:jc w:val="both"/>
              <w:rPr>
                <w:rFonts w:ascii="Arial Narrow" w:eastAsia="Arial Narrow" w:hAnsi="Arial Narrow" w:cs="Arial Narrow"/>
                <w:sz w:val="24"/>
                <w:szCs w:val="24"/>
              </w:rPr>
            </w:pPr>
          </w:p>
          <w:p w14:paraId="00000018" w14:textId="77777777" w:rsidR="002012D8" w:rsidRDefault="0019396C">
            <w:pPr>
              <w:spacing w:after="160"/>
              <w:jc w:val="both"/>
              <w:rPr>
                <w:rFonts w:ascii="Arial Narrow" w:eastAsia="Arial Narrow" w:hAnsi="Arial Narrow" w:cs="Arial Narrow"/>
                <w:sz w:val="24"/>
                <w:szCs w:val="24"/>
              </w:rPr>
            </w:pPr>
            <w:r>
              <w:rPr>
                <w:rFonts w:ascii="Arial Narrow" w:eastAsia="Arial Narrow" w:hAnsi="Arial Narrow" w:cs="Arial Narrow"/>
                <w:sz w:val="24"/>
                <w:szCs w:val="24"/>
              </w:rPr>
              <w:t xml:space="preserve">Son objetivos de conservación del Santuario de Flora Palmares de </w:t>
            </w:r>
            <w:proofErr w:type="spellStart"/>
            <w:r>
              <w:rPr>
                <w:rFonts w:ascii="Arial Narrow" w:eastAsia="Arial Narrow" w:hAnsi="Arial Narrow" w:cs="Arial Narrow"/>
                <w:sz w:val="24"/>
                <w:szCs w:val="24"/>
              </w:rPr>
              <w:t>Tochecito</w:t>
            </w:r>
            <w:proofErr w:type="spellEnd"/>
            <w:r>
              <w:rPr>
                <w:rFonts w:ascii="Arial Narrow" w:eastAsia="Arial Narrow" w:hAnsi="Arial Narrow" w:cs="Arial Narrow"/>
                <w:sz w:val="24"/>
                <w:szCs w:val="24"/>
              </w:rPr>
              <w:t>:</w:t>
            </w:r>
          </w:p>
          <w:p w14:paraId="00000019" w14:textId="77777777" w:rsidR="002012D8" w:rsidRDefault="0019396C">
            <w:pPr>
              <w:widowControl w:val="0"/>
              <w:numPr>
                <w:ilvl w:val="0"/>
                <w:numId w:val="1"/>
              </w:numPr>
              <w:ind w:left="720" w:hanging="360"/>
              <w:jc w:val="both"/>
              <w:rPr>
                <w:i/>
                <w:iCs/>
                <w:sz w:val="22"/>
                <w:szCs w:val="22"/>
              </w:rPr>
            </w:pPr>
            <w:r>
              <w:rPr>
                <w:rFonts w:ascii="Arial Narrow" w:eastAsia="Arial Narrow" w:hAnsi="Arial Narrow" w:cs="Arial Narrow"/>
                <w:sz w:val="24"/>
                <w:szCs w:val="24"/>
              </w:rPr>
              <w:lastRenderedPageBreak/>
              <w:t xml:space="preserve">Preservar los bosques andinos y altoandinos presentes en la microcuenca del río </w:t>
            </w:r>
            <w:proofErr w:type="spellStart"/>
            <w:r>
              <w:rPr>
                <w:rFonts w:ascii="Arial Narrow" w:eastAsia="Arial Narrow" w:hAnsi="Arial Narrow" w:cs="Arial Narrow"/>
                <w:sz w:val="24"/>
                <w:szCs w:val="24"/>
              </w:rPr>
              <w:t>Tochecito</w:t>
            </w:r>
            <w:proofErr w:type="spellEnd"/>
            <w:r>
              <w:rPr>
                <w:rFonts w:ascii="Arial Narrow" w:eastAsia="Arial Narrow" w:hAnsi="Arial Narrow" w:cs="Arial Narrow"/>
                <w:sz w:val="24"/>
                <w:szCs w:val="24"/>
              </w:rPr>
              <w:t>, que albergan una muestra representativa de la población de palma de cera del Quindío (</w:t>
            </w:r>
            <w:proofErr w:type="spellStart"/>
            <w:r>
              <w:rPr>
                <w:rFonts w:ascii="Arial Narrow" w:eastAsia="Arial Narrow" w:hAnsi="Arial Narrow" w:cs="Arial Narrow"/>
                <w:sz w:val="24"/>
                <w:szCs w:val="24"/>
              </w:rPr>
              <w:t>Ceroxylon</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quindiuense</w:t>
            </w:r>
            <w:proofErr w:type="spellEnd"/>
            <w:r>
              <w:rPr>
                <w:rFonts w:ascii="Arial Narrow" w:eastAsia="Arial Narrow" w:hAnsi="Arial Narrow" w:cs="Arial Narrow"/>
                <w:sz w:val="24"/>
                <w:szCs w:val="24"/>
              </w:rPr>
              <w:t>).</w:t>
            </w:r>
          </w:p>
          <w:p w14:paraId="0000001A" w14:textId="77777777" w:rsidR="002012D8" w:rsidRDefault="0019396C">
            <w:pPr>
              <w:numPr>
                <w:ilvl w:val="0"/>
                <w:numId w:val="1"/>
              </w:numPr>
              <w:ind w:left="720" w:hanging="360"/>
              <w:jc w:val="both"/>
              <w:rPr>
                <w:i/>
                <w:iCs/>
                <w:sz w:val="22"/>
                <w:szCs w:val="22"/>
              </w:rPr>
            </w:pPr>
            <w:r>
              <w:rPr>
                <w:rFonts w:ascii="Arial Narrow" w:eastAsia="Arial Narrow" w:hAnsi="Arial Narrow" w:cs="Arial Narrow"/>
                <w:sz w:val="24"/>
                <w:szCs w:val="24"/>
              </w:rPr>
              <w:t>Restaurar los bosques andinos y altoandinos que favorecen el ciclo de vida de la palma de cera del Quindío (</w:t>
            </w:r>
            <w:proofErr w:type="spellStart"/>
            <w:r>
              <w:rPr>
                <w:rFonts w:ascii="Arial Narrow" w:eastAsia="Arial Narrow" w:hAnsi="Arial Narrow" w:cs="Arial Narrow"/>
                <w:sz w:val="24"/>
                <w:szCs w:val="24"/>
              </w:rPr>
              <w:t>Ceroxylon</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quindiuense</w:t>
            </w:r>
            <w:proofErr w:type="spellEnd"/>
            <w:r>
              <w:rPr>
                <w:rFonts w:ascii="Arial Narrow" w:eastAsia="Arial Narrow" w:hAnsi="Arial Narrow" w:cs="Arial Narrow"/>
                <w:sz w:val="24"/>
                <w:szCs w:val="24"/>
              </w:rPr>
              <w:t>) y de otras especies endémicas y/o amenazadas asociadas a estos ecosistemas.</w:t>
            </w:r>
          </w:p>
          <w:p w14:paraId="0000001B" w14:textId="77777777" w:rsidR="002012D8" w:rsidRDefault="0019396C">
            <w:pPr>
              <w:numPr>
                <w:ilvl w:val="0"/>
                <w:numId w:val="1"/>
              </w:numPr>
              <w:spacing w:after="160"/>
              <w:ind w:left="720" w:hanging="360"/>
              <w:jc w:val="both"/>
              <w:rPr>
                <w:i/>
                <w:iCs/>
                <w:sz w:val="22"/>
                <w:szCs w:val="22"/>
              </w:rPr>
            </w:pPr>
            <w:r>
              <w:rPr>
                <w:rFonts w:ascii="Arial Narrow" w:eastAsia="Arial Narrow" w:hAnsi="Arial Narrow" w:cs="Arial Narrow"/>
                <w:sz w:val="24"/>
                <w:szCs w:val="24"/>
              </w:rPr>
              <w:t>Proteger los paisajes naturales y de valor histórico y cultural aportando a la sostenibilidad ambiental y el bienestar de las comunidades locales.</w:t>
            </w:r>
          </w:p>
          <w:p w14:paraId="0000001C" w14:textId="77777777" w:rsidR="002012D8" w:rsidRDefault="0019396C">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De manera adicional, la declaratoria responde a las medidas cautelares decretadas por el Tribunal Administrativo del Tolima dentro del proceso de protección de derechos e intereses colectivos radicado No. 73001-23-33-000-2020-00482-00, mediante las cuales se reconoció la existencia de amenazas sobre los bosques de palma de cera de la Cordillera Central y se ordenó a las autoridades ambientales adelantar acciones concretas de conservación, delimitación y protección de estas áreas estratégicas.</w:t>
            </w:r>
          </w:p>
          <w:p w14:paraId="0000001D" w14:textId="77777777" w:rsidR="002012D8" w:rsidRDefault="0019396C">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medida resulta igualmente conveniente por cuanto contribuye al cumplimiento de los objetivos de conservación previstos en el Decreto 1076 de 2015, fortalece la implementación de la Política para la Consolidación del Sistema Nacional de Áreas Protegidas (CONPES 4050 de 2021), desarrolla las metas del Plan Nacional de Desarrollo 2022-2026 “Colombia Potencia Mundial de la Vida” relacionadas con la ampliación y consolidación del Sistema Nacional de Áreas Protegidas, y materializa los compromisos asumidos por Colombia en el marco del Convenio sobre la Diversidad Biológica.</w:t>
            </w:r>
          </w:p>
          <w:p w14:paraId="0000001E" w14:textId="77777777" w:rsidR="002012D8" w:rsidRDefault="0019396C">
            <w:pPr>
              <w:spacing w:before="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En consecuencia, la declaratoria del Santuario de Flora Palmares de </w:t>
            </w:r>
            <w:proofErr w:type="spellStart"/>
            <w:r>
              <w:rPr>
                <w:rFonts w:ascii="Arial Narrow" w:eastAsia="Arial Narrow" w:hAnsi="Arial Narrow" w:cs="Arial Narrow"/>
                <w:sz w:val="24"/>
                <w:szCs w:val="24"/>
              </w:rPr>
              <w:t>Tochecito</w:t>
            </w:r>
            <w:proofErr w:type="spellEnd"/>
            <w:r>
              <w:rPr>
                <w:rFonts w:ascii="Arial Narrow" w:eastAsia="Arial Narrow" w:hAnsi="Arial Narrow" w:cs="Arial Narrow"/>
                <w:sz w:val="24"/>
                <w:szCs w:val="24"/>
              </w:rPr>
              <w:t xml:space="preserve"> constituye una medida necesaria, oportuna y conveniente para garantizar la conservación a largo plazo de una muestra representativa de las poblaciones naturales de palma de cera del Quindío, de los ecosistemas andinos y altoandinos asociados, de los valores culturales presentes en el territorio y de los servicios ecosistémicos que benefician a las comunidades locales y a la sociedad en general.</w:t>
            </w:r>
          </w:p>
        </w:tc>
      </w:tr>
      <w:tr w:rsidR="002012D8" w14:paraId="42F24A98" w14:textId="77777777">
        <w:trPr>
          <w:trHeight w:val="66"/>
        </w:trPr>
        <w:tc>
          <w:tcPr>
            <w:tcW w:w="10755" w:type="dxa"/>
            <w:gridSpan w:val="3"/>
            <w:tcBorders>
              <w:top w:val="single" w:sz="4" w:space="0" w:color="000000"/>
              <w:bottom w:val="single" w:sz="4" w:space="0" w:color="000000"/>
            </w:tcBorders>
            <w:shd w:val="clear" w:color="auto" w:fill="FFFFFF"/>
            <w:vAlign w:val="center"/>
          </w:tcPr>
          <w:p w14:paraId="00000021" w14:textId="4DA9D684" w:rsidR="002012D8" w:rsidRDefault="00000000">
            <w:pPr>
              <w:numPr>
                <w:ilvl w:val="0"/>
                <w:numId w:val="2"/>
              </w:numPr>
              <w:rPr>
                <w:rFonts w:ascii="Arial Narrow" w:eastAsia="Arial Narrow" w:hAnsi="Arial Narrow" w:cs="Arial Narrow"/>
                <w:b/>
                <w:bCs/>
                <w:sz w:val="22"/>
                <w:szCs w:val="22"/>
              </w:rPr>
            </w:pPr>
            <w:sdt>
              <w:sdtPr>
                <w:tag w:val="goog_rdk_1"/>
                <w:id w:val="684471496"/>
              </w:sdtPr>
              <w:sdtContent>
                <w:sdt>
                  <w:sdtPr>
                    <w:tag w:val="goog_rdk_2"/>
                    <w:id w:val="332914313"/>
                  </w:sdtPr>
                  <w:sdtContent>
                    <w:r w:rsidR="0019396C" w:rsidRPr="00FC07BE">
                      <w:rPr>
                        <w:rFonts w:ascii="Arial Narrow" w:eastAsia="Arial Narrow" w:hAnsi="Arial Narrow" w:cs="Arial Narrow"/>
                        <w:b/>
                        <w:bCs/>
                        <w:sz w:val="22"/>
                        <w:szCs w:val="22"/>
                      </w:rPr>
                      <w:t>Á</w:t>
                    </w:r>
                  </w:sdtContent>
                </w:sdt>
              </w:sdtContent>
            </w:sdt>
            <w:sdt>
              <w:sdtPr>
                <w:tag w:val="goog_rdk_3"/>
                <w:id w:val="1593781602"/>
                <w:showingPlcHdr/>
              </w:sdtPr>
              <w:sdtContent>
                <w:r w:rsidR="00FC07BE">
                  <w:t xml:space="preserve">     </w:t>
                </w:r>
              </w:sdtContent>
            </w:sdt>
            <w:r w:rsidR="0019396C">
              <w:rPr>
                <w:rFonts w:ascii="Arial Narrow" w:eastAsia="Arial Narrow" w:hAnsi="Arial Narrow" w:cs="Arial Narrow"/>
                <w:b/>
                <w:bCs/>
                <w:sz w:val="22"/>
                <w:szCs w:val="22"/>
              </w:rPr>
              <w:t>MBITO DE APLICACIÓN Y SUJETOS A QUIENES VA DIRIGIDO</w:t>
            </w:r>
          </w:p>
          <w:p w14:paraId="00000022" w14:textId="77777777" w:rsidR="002012D8" w:rsidRDefault="002012D8">
            <w:pPr>
              <w:rPr>
                <w:rFonts w:ascii="Arial Narrow" w:eastAsia="Arial Narrow" w:hAnsi="Arial Narrow" w:cs="Arial Narrow"/>
                <w:sz w:val="22"/>
                <w:szCs w:val="22"/>
              </w:rPr>
            </w:pPr>
          </w:p>
          <w:p w14:paraId="00000023" w14:textId="77777777" w:rsidR="002012D8" w:rsidRDefault="0019396C">
            <w:pPr>
              <w:spacing w:before="280" w:after="280"/>
              <w:rPr>
                <w:rFonts w:ascii="Arial Narrow" w:eastAsia="Arial Narrow" w:hAnsi="Arial Narrow" w:cs="Arial Narrow"/>
                <w:sz w:val="24"/>
                <w:szCs w:val="24"/>
              </w:rPr>
            </w:pPr>
            <w:r>
              <w:rPr>
                <w:rFonts w:ascii="Arial Narrow" w:eastAsia="Arial Narrow" w:hAnsi="Arial Narrow" w:cs="Arial Narrow"/>
                <w:sz w:val="24"/>
                <w:szCs w:val="24"/>
              </w:rPr>
              <w:t>La resolución tendrá aplicación en el área que conformará el Santuario de Flora Tochecito, ubicado en jurisdicción de los municipios de Cajamarca e Ibagué, departamento del Tolima.</w:t>
            </w:r>
          </w:p>
          <w:p w14:paraId="00000024" w14:textId="77777777" w:rsidR="002012D8" w:rsidRDefault="0019396C">
            <w:pPr>
              <w:spacing w:before="280" w:after="280"/>
              <w:rPr>
                <w:rFonts w:ascii="Arial Narrow" w:eastAsia="Arial Narrow" w:hAnsi="Arial Narrow" w:cs="Arial Narrow"/>
                <w:sz w:val="24"/>
                <w:szCs w:val="24"/>
              </w:rPr>
            </w:pPr>
            <w:r>
              <w:rPr>
                <w:rFonts w:ascii="Arial Narrow" w:eastAsia="Arial Narrow" w:hAnsi="Arial Narrow" w:cs="Arial Narrow"/>
                <w:sz w:val="24"/>
                <w:szCs w:val="24"/>
              </w:rPr>
              <w:t>Las disposiciones contenidas en el acto administrativo estarán dirigidas a:</w:t>
            </w:r>
          </w:p>
          <w:p w14:paraId="00000025" w14:textId="77777777" w:rsidR="002012D8" w:rsidRDefault="0019396C">
            <w:pPr>
              <w:spacing w:before="280" w:after="280"/>
              <w:rPr>
                <w:rFonts w:ascii="Arial Narrow" w:eastAsia="Arial Narrow" w:hAnsi="Arial Narrow" w:cs="Arial Narrow"/>
                <w:sz w:val="24"/>
                <w:szCs w:val="24"/>
              </w:rPr>
            </w:pPr>
            <w:r>
              <w:rPr>
                <w:rFonts w:ascii="Arial Narrow" w:eastAsia="Arial Narrow" w:hAnsi="Arial Narrow" w:cs="Arial Narrow"/>
                <w:sz w:val="24"/>
                <w:szCs w:val="24"/>
              </w:rPr>
              <w:t>• Parques Nacionales Naturales de Colombia.</w:t>
            </w:r>
            <w:r>
              <w:rPr>
                <w:rFonts w:ascii="Arial Narrow" w:eastAsia="Arial Narrow" w:hAnsi="Arial Narrow" w:cs="Arial Narrow"/>
                <w:sz w:val="24"/>
                <w:szCs w:val="24"/>
              </w:rPr>
              <w:br/>
              <w:t>• Ministerio de Ambiente y Desarrollo Sostenible.</w:t>
            </w:r>
            <w:r>
              <w:rPr>
                <w:rFonts w:ascii="Arial Narrow" w:eastAsia="Arial Narrow" w:hAnsi="Arial Narrow" w:cs="Arial Narrow"/>
                <w:sz w:val="24"/>
                <w:szCs w:val="24"/>
              </w:rPr>
              <w:br/>
              <w:t>• Autoridades ambientales competentes.</w:t>
            </w:r>
            <w:r>
              <w:rPr>
                <w:rFonts w:ascii="Arial Narrow" w:eastAsia="Arial Narrow" w:hAnsi="Arial Narrow" w:cs="Arial Narrow"/>
                <w:sz w:val="24"/>
                <w:szCs w:val="24"/>
              </w:rPr>
              <w:br/>
              <w:t>• Entidades territoriales con jurisdicción en el área.</w:t>
            </w:r>
            <w:r>
              <w:rPr>
                <w:rFonts w:ascii="Arial Narrow" w:eastAsia="Arial Narrow" w:hAnsi="Arial Narrow" w:cs="Arial Narrow"/>
                <w:sz w:val="24"/>
                <w:szCs w:val="24"/>
              </w:rPr>
              <w:br/>
              <w:t>• Propietarios, poseedores y ocupantes de predios localizados dentro del área protegida.</w:t>
            </w:r>
            <w:r>
              <w:rPr>
                <w:rFonts w:ascii="Arial Narrow" w:eastAsia="Arial Narrow" w:hAnsi="Arial Narrow" w:cs="Arial Narrow"/>
                <w:sz w:val="24"/>
                <w:szCs w:val="24"/>
              </w:rPr>
              <w:br/>
              <w:t>• Instituciones públicas y privadas que desarrollen actividades dentro del área o en su zona de influencia.</w:t>
            </w:r>
            <w:r>
              <w:rPr>
                <w:rFonts w:ascii="Arial Narrow" w:eastAsia="Arial Narrow" w:hAnsi="Arial Narrow" w:cs="Arial Narrow"/>
                <w:sz w:val="24"/>
                <w:szCs w:val="24"/>
              </w:rPr>
              <w:br/>
              <w:t>• Organizaciones comunitarias y demás actores sociales vinculados al territorio.</w:t>
            </w:r>
          </w:p>
          <w:p w14:paraId="00000026" w14:textId="77777777" w:rsidR="002012D8" w:rsidRDefault="002012D8">
            <w:pPr>
              <w:rPr>
                <w:rFonts w:ascii="Arial Narrow" w:eastAsia="Arial Narrow" w:hAnsi="Arial Narrow" w:cs="Arial Narrow"/>
                <w:sz w:val="22"/>
                <w:szCs w:val="22"/>
              </w:rPr>
            </w:pPr>
          </w:p>
          <w:p w14:paraId="00000027" w14:textId="77777777" w:rsidR="002012D8" w:rsidRDefault="002012D8">
            <w:pPr>
              <w:rPr>
                <w:rFonts w:ascii="Arial Narrow" w:eastAsia="Arial Narrow" w:hAnsi="Arial Narrow" w:cs="Arial Narrow"/>
                <w:sz w:val="22"/>
                <w:szCs w:val="22"/>
              </w:rPr>
            </w:pPr>
          </w:p>
        </w:tc>
      </w:tr>
      <w:tr w:rsidR="002012D8" w14:paraId="64247365" w14:textId="77777777">
        <w:trPr>
          <w:trHeight w:val="3379"/>
        </w:trPr>
        <w:tc>
          <w:tcPr>
            <w:tcW w:w="10755" w:type="dxa"/>
            <w:gridSpan w:val="3"/>
            <w:tcBorders>
              <w:bottom w:val="single" w:sz="4" w:space="0" w:color="000000"/>
            </w:tcBorders>
            <w:shd w:val="clear" w:color="auto" w:fill="FFFFFF"/>
            <w:vAlign w:val="center"/>
          </w:tcPr>
          <w:p w14:paraId="0000002A" w14:textId="77777777" w:rsidR="002012D8" w:rsidRDefault="0019396C">
            <w:pPr>
              <w:numPr>
                <w:ilvl w:val="0"/>
                <w:numId w:val="2"/>
              </w:numP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lastRenderedPageBreak/>
              <w:t>VIABILIDAD JURÍDICA</w:t>
            </w:r>
          </w:p>
          <w:p w14:paraId="0000002B" w14:textId="77777777" w:rsidR="002012D8" w:rsidRDefault="002012D8">
            <w:pPr>
              <w:ind w:left="494" w:hanging="283"/>
              <w:rPr>
                <w:rFonts w:ascii="Arial Narrow" w:eastAsia="Arial Narrow" w:hAnsi="Arial Narrow" w:cs="Arial Narrow"/>
                <w:i/>
                <w:iCs/>
                <w:color w:val="808080"/>
                <w:sz w:val="22"/>
                <w:szCs w:val="22"/>
              </w:rPr>
            </w:pPr>
          </w:p>
          <w:p w14:paraId="0000002C" w14:textId="77777777" w:rsidR="002012D8" w:rsidRDefault="0019396C">
            <w:pPr>
              <w:ind w:left="494" w:hanging="283"/>
              <w:jc w:val="both"/>
              <w:rPr>
                <w:rFonts w:ascii="Arial Narrow" w:eastAsia="Arial Narrow" w:hAnsi="Arial Narrow" w:cs="Arial Narrow"/>
                <w:b/>
                <w:bCs/>
                <w:sz w:val="24"/>
                <w:szCs w:val="24"/>
              </w:rPr>
            </w:pPr>
            <w:r>
              <w:rPr>
                <w:rFonts w:ascii="Arial Narrow" w:eastAsia="Arial Narrow" w:hAnsi="Arial Narrow" w:cs="Arial Narrow"/>
                <w:b/>
                <w:bCs/>
                <w:sz w:val="24"/>
                <w:szCs w:val="24"/>
              </w:rPr>
              <w:t>3.1 Análisis de las normas que otorgan la competencia para la expedición del proyecto normativo:</w:t>
            </w:r>
          </w:p>
          <w:p w14:paraId="0000002D" w14:textId="77777777" w:rsidR="002012D8" w:rsidRDefault="002012D8">
            <w:pPr>
              <w:ind w:left="494" w:hanging="283"/>
              <w:jc w:val="both"/>
              <w:rPr>
                <w:rFonts w:ascii="Arial Narrow" w:eastAsia="Arial Narrow" w:hAnsi="Arial Narrow" w:cs="Arial Narrow"/>
                <w:sz w:val="24"/>
                <w:szCs w:val="24"/>
              </w:rPr>
            </w:pPr>
          </w:p>
          <w:p w14:paraId="0000002E" w14:textId="77777777" w:rsidR="002012D8" w:rsidRDefault="0019396C">
            <w:pPr>
              <w:ind w:left="494" w:hanging="283"/>
              <w:jc w:val="both"/>
              <w:rPr>
                <w:rFonts w:ascii="Arial Narrow" w:eastAsia="Arial Narrow" w:hAnsi="Arial Narrow" w:cs="Arial Narrow"/>
                <w:sz w:val="24"/>
                <w:szCs w:val="24"/>
              </w:rPr>
            </w:pPr>
            <w:r>
              <w:rPr>
                <w:rFonts w:ascii="Arial Narrow" w:eastAsia="Arial Narrow" w:hAnsi="Arial Narrow" w:cs="Arial Narrow"/>
                <w:sz w:val="24"/>
                <w:szCs w:val="24"/>
              </w:rPr>
              <w:t>La competencia para expedir la presente resolución se encuentra sustentada principalmente en:</w:t>
            </w:r>
          </w:p>
          <w:p w14:paraId="0000002F" w14:textId="77777777" w:rsidR="002012D8" w:rsidRDefault="002012D8">
            <w:pPr>
              <w:ind w:left="494" w:hanging="283"/>
              <w:jc w:val="both"/>
              <w:rPr>
                <w:rFonts w:ascii="Arial Narrow" w:eastAsia="Arial Narrow" w:hAnsi="Arial Narrow" w:cs="Arial Narrow"/>
                <w:sz w:val="24"/>
                <w:szCs w:val="24"/>
              </w:rPr>
            </w:pPr>
          </w:p>
          <w:p w14:paraId="00000030" w14:textId="77777777" w:rsidR="002012D8" w:rsidRDefault="0019396C">
            <w:pPr>
              <w:ind w:left="494" w:hanging="283"/>
              <w:jc w:val="both"/>
              <w:rPr>
                <w:rFonts w:ascii="Arial Narrow" w:eastAsia="Arial Narrow" w:hAnsi="Arial Narrow" w:cs="Arial Narrow"/>
                <w:sz w:val="24"/>
                <w:szCs w:val="24"/>
              </w:rPr>
            </w:pPr>
            <w:r>
              <w:rPr>
                <w:rFonts w:ascii="Arial Narrow" w:eastAsia="Arial Narrow" w:hAnsi="Arial Narrow" w:cs="Arial Narrow"/>
                <w:sz w:val="24"/>
                <w:szCs w:val="24"/>
              </w:rPr>
              <w:t>• Artículos 79 y 80 de la Constitución Política.</w:t>
            </w:r>
          </w:p>
          <w:p w14:paraId="00000031" w14:textId="77777777" w:rsidR="002012D8" w:rsidRDefault="0019396C">
            <w:pPr>
              <w:ind w:left="494" w:hanging="283"/>
              <w:jc w:val="both"/>
              <w:rPr>
                <w:rFonts w:ascii="Arial Narrow" w:eastAsia="Arial Narrow" w:hAnsi="Arial Narrow" w:cs="Arial Narrow"/>
                <w:sz w:val="24"/>
                <w:szCs w:val="24"/>
              </w:rPr>
            </w:pPr>
            <w:r>
              <w:rPr>
                <w:rFonts w:ascii="Arial Narrow" w:eastAsia="Arial Narrow" w:hAnsi="Arial Narrow" w:cs="Arial Narrow"/>
                <w:sz w:val="24"/>
                <w:szCs w:val="24"/>
              </w:rPr>
              <w:t>• Ley 2 de 1959.</w:t>
            </w:r>
          </w:p>
          <w:p w14:paraId="00000032" w14:textId="77777777" w:rsidR="002012D8" w:rsidRDefault="0019396C">
            <w:pPr>
              <w:ind w:left="494" w:hanging="283"/>
              <w:jc w:val="both"/>
              <w:rPr>
                <w:rFonts w:ascii="Arial Narrow" w:eastAsia="Arial Narrow" w:hAnsi="Arial Narrow" w:cs="Arial Narrow"/>
                <w:sz w:val="24"/>
                <w:szCs w:val="24"/>
              </w:rPr>
            </w:pPr>
            <w:r>
              <w:rPr>
                <w:rFonts w:ascii="Arial Narrow" w:eastAsia="Arial Narrow" w:hAnsi="Arial Narrow" w:cs="Arial Narrow"/>
                <w:sz w:val="24"/>
                <w:szCs w:val="24"/>
              </w:rPr>
              <w:t>• Decreto Ley 2811 de 1974, especialmente artículos 327, 329 y 334.</w:t>
            </w:r>
          </w:p>
          <w:p w14:paraId="00000033" w14:textId="77777777" w:rsidR="002012D8" w:rsidRDefault="0019396C">
            <w:pPr>
              <w:ind w:left="494" w:hanging="283"/>
              <w:jc w:val="both"/>
              <w:rPr>
                <w:rFonts w:ascii="Arial Narrow" w:eastAsia="Arial Narrow" w:hAnsi="Arial Narrow" w:cs="Arial Narrow"/>
                <w:sz w:val="24"/>
                <w:szCs w:val="24"/>
              </w:rPr>
            </w:pPr>
            <w:r>
              <w:rPr>
                <w:rFonts w:ascii="Arial Narrow" w:eastAsia="Arial Narrow" w:hAnsi="Arial Narrow" w:cs="Arial Narrow"/>
                <w:sz w:val="24"/>
                <w:szCs w:val="24"/>
              </w:rPr>
              <w:t>• Ley 99 de 1993, artículo 5 numeral 18.</w:t>
            </w:r>
          </w:p>
          <w:p w14:paraId="00000034" w14:textId="77777777" w:rsidR="002012D8" w:rsidRDefault="0019396C">
            <w:pPr>
              <w:ind w:left="494" w:hanging="283"/>
              <w:jc w:val="both"/>
              <w:rPr>
                <w:rFonts w:ascii="Arial Narrow" w:eastAsia="Arial Narrow" w:hAnsi="Arial Narrow" w:cs="Arial Narrow"/>
                <w:sz w:val="24"/>
                <w:szCs w:val="24"/>
              </w:rPr>
            </w:pPr>
            <w:r>
              <w:rPr>
                <w:rFonts w:ascii="Arial Narrow" w:eastAsia="Arial Narrow" w:hAnsi="Arial Narrow" w:cs="Arial Narrow"/>
                <w:sz w:val="24"/>
                <w:szCs w:val="24"/>
              </w:rPr>
              <w:t>• Ley 165 de 1994.</w:t>
            </w:r>
          </w:p>
          <w:p w14:paraId="00000035" w14:textId="77777777" w:rsidR="002012D8" w:rsidRDefault="0019396C">
            <w:pPr>
              <w:ind w:left="494" w:hanging="283"/>
              <w:jc w:val="both"/>
              <w:rPr>
                <w:rFonts w:ascii="Arial Narrow" w:eastAsia="Arial Narrow" w:hAnsi="Arial Narrow" w:cs="Arial Narrow"/>
                <w:sz w:val="24"/>
                <w:szCs w:val="24"/>
              </w:rPr>
            </w:pPr>
            <w:r>
              <w:rPr>
                <w:rFonts w:ascii="Arial Narrow" w:eastAsia="Arial Narrow" w:hAnsi="Arial Narrow" w:cs="Arial Narrow"/>
                <w:sz w:val="24"/>
                <w:szCs w:val="24"/>
              </w:rPr>
              <w:t>• Decreto Ley 3570 de 2011.</w:t>
            </w:r>
          </w:p>
          <w:p w14:paraId="00000036" w14:textId="77777777" w:rsidR="002012D8" w:rsidRDefault="0019396C">
            <w:pPr>
              <w:ind w:left="494" w:hanging="283"/>
              <w:jc w:val="both"/>
              <w:rPr>
                <w:rFonts w:ascii="Arial Narrow" w:eastAsia="Arial Narrow" w:hAnsi="Arial Narrow" w:cs="Arial Narrow"/>
                <w:sz w:val="24"/>
                <w:szCs w:val="24"/>
              </w:rPr>
            </w:pPr>
            <w:r>
              <w:rPr>
                <w:rFonts w:ascii="Arial Narrow" w:eastAsia="Arial Narrow" w:hAnsi="Arial Narrow" w:cs="Arial Narrow"/>
                <w:sz w:val="24"/>
                <w:szCs w:val="24"/>
              </w:rPr>
              <w:t>• Decreto 1076 de 2015.</w:t>
            </w:r>
          </w:p>
          <w:p w14:paraId="00000037" w14:textId="77777777" w:rsidR="002012D8" w:rsidRDefault="0019396C">
            <w:pPr>
              <w:ind w:left="494" w:hanging="283"/>
              <w:jc w:val="both"/>
              <w:rPr>
                <w:rFonts w:ascii="Arial Narrow" w:eastAsia="Arial Narrow" w:hAnsi="Arial Narrow" w:cs="Arial Narrow"/>
                <w:sz w:val="24"/>
                <w:szCs w:val="24"/>
              </w:rPr>
            </w:pPr>
            <w:r>
              <w:rPr>
                <w:rFonts w:ascii="Arial Narrow" w:eastAsia="Arial Narrow" w:hAnsi="Arial Narrow" w:cs="Arial Narrow"/>
                <w:sz w:val="24"/>
                <w:szCs w:val="24"/>
              </w:rPr>
              <w:t>• Resolución 1125 de 2015 o la norma que la modifique o sustituya.</w:t>
            </w:r>
          </w:p>
          <w:p w14:paraId="00000038" w14:textId="77777777" w:rsidR="002012D8" w:rsidRDefault="0019396C">
            <w:pPr>
              <w:ind w:left="494" w:hanging="283"/>
              <w:jc w:val="both"/>
              <w:rPr>
                <w:rFonts w:ascii="Arial Narrow" w:eastAsia="Arial Narrow" w:hAnsi="Arial Narrow" w:cs="Arial Narrow"/>
                <w:sz w:val="24"/>
                <w:szCs w:val="24"/>
              </w:rPr>
            </w:pPr>
            <w:r>
              <w:rPr>
                <w:rFonts w:ascii="Arial Narrow" w:eastAsia="Arial Narrow" w:hAnsi="Arial Narrow" w:cs="Arial Narrow"/>
                <w:sz w:val="24"/>
                <w:szCs w:val="24"/>
              </w:rPr>
              <w:t>• Ley 61 de 1985.</w:t>
            </w:r>
          </w:p>
          <w:p w14:paraId="00000039" w14:textId="77777777" w:rsidR="002012D8" w:rsidRDefault="002012D8">
            <w:pPr>
              <w:ind w:left="494" w:hanging="283"/>
              <w:jc w:val="both"/>
              <w:rPr>
                <w:rFonts w:ascii="Arial Narrow" w:eastAsia="Arial Narrow" w:hAnsi="Arial Narrow" w:cs="Arial Narrow"/>
                <w:sz w:val="24"/>
                <w:szCs w:val="24"/>
              </w:rPr>
            </w:pPr>
          </w:p>
          <w:p w14:paraId="0000003A" w14:textId="77777777" w:rsidR="002012D8" w:rsidRDefault="0019396C">
            <w:pPr>
              <w:ind w:left="494" w:hanging="283"/>
              <w:jc w:val="both"/>
              <w:rPr>
                <w:rFonts w:ascii="Arial Narrow" w:eastAsia="Arial Narrow" w:hAnsi="Arial Narrow" w:cs="Arial Narrow"/>
                <w:b/>
                <w:bCs/>
                <w:sz w:val="24"/>
                <w:szCs w:val="24"/>
              </w:rPr>
            </w:pPr>
            <w:r>
              <w:rPr>
                <w:rFonts w:ascii="Arial Narrow" w:eastAsia="Arial Narrow" w:hAnsi="Arial Narrow" w:cs="Arial Narrow"/>
                <w:b/>
                <w:bCs/>
                <w:sz w:val="24"/>
                <w:szCs w:val="24"/>
              </w:rPr>
              <w:t>3.2 Vigencia de la ley o norma reglamentada o desarrollada.</w:t>
            </w:r>
          </w:p>
          <w:p w14:paraId="0000003B" w14:textId="77777777" w:rsidR="002012D8" w:rsidRDefault="002012D8">
            <w:pPr>
              <w:ind w:left="494" w:hanging="283"/>
              <w:jc w:val="both"/>
              <w:rPr>
                <w:rFonts w:ascii="Arial Narrow" w:eastAsia="Arial Narrow" w:hAnsi="Arial Narrow" w:cs="Arial Narrow"/>
                <w:b/>
                <w:bCs/>
                <w:sz w:val="24"/>
                <w:szCs w:val="24"/>
              </w:rPr>
            </w:pPr>
          </w:p>
          <w:p w14:paraId="0000003C" w14:textId="77777777" w:rsidR="002012D8" w:rsidRDefault="0019396C">
            <w:pPr>
              <w:ind w:left="360"/>
              <w:jc w:val="both"/>
              <w:rPr>
                <w:rFonts w:ascii="Arial Narrow" w:eastAsia="Arial Narrow" w:hAnsi="Arial Narrow" w:cs="Arial Narrow"/>
                <w:sz w:val="24"/>
                <w:szCs w:val="24"/>
              </w:rPr>
            </w:pPr>
            <w:r>
              <w:rPr>
                <w:rFonts w:ascii="Arial Narrow" w:eastAsia="Arial Narrow" w:hAnsi="Arial Narrow" w:cs="Arial Narrow"/>
                <w:sz w:val="24"/>
                <w:szCs w:val="24"/>
              </w:rPr>
              <w:t>El proyecto desarrolla disposiciones vigentes relacionadas con la declaratoria de áreas protegidas integrantes del Sistema de Parques Nacionales Naturales en especial la Resolución 1125 de 2015 del MADS “Por la cual se adopta la ruta para la declaratoria de áreas protegidas”</w:t>
            </w:r>
          </w:p>
          <w:p w14:paraId="0000003D" w14:textId="77777777" w:rsidR="002012D8" w:rsidRDefault="002012D8">
            <w:pPr>
              <w:ind w:left="494" w:hanging="283"/>
              <w:jc w:val="both"/>
              <w:rPr>
                <w:rFonts w:ascii="Arial Narrow" w:eastAsia="Arial Narrow" w:hAnsi="Arial Narrow" w:cs="Arial Narrow"/>
                <w:b/>
                <w:bCs/>
                <w:sz w:val="24"/>
                <w:szCs w:val="24"/>
              </w:rPr>
            </w:pPr>
          </w:p>
          <w:p w14:paraId="0000003E" w14:textId="77777777" w:rsidR="002012D8" w:rsidRDefault="0019396C">
            <w:pPr>
              <w:ind w:left="494" w:hanging="283"/>
              <w:jc w:val="both"/>
              <w:rPr>
                <w:rFonts w:ascii="Arial Narrow" w:eastAsia="Arial Narrow" w:hAnsi="Arial Narrow" w:cs="Arial Narrow"/>
                <w:b/>
                <w:bCs/>
                <w:sz w:val="24"/>
                <w:szCs w:val="24"/>
              </w:rPr>
            </w:pPr>
            <w:r>
              <w:rPr>
                <w:rFonts w:ascii="Arial Narrow" w:eastAsia="Arial Narrow" w:hAnsi="Arial Narrow" w:cs="Arial Narrow"/>
                <w:b/>
                <w:bCs/>
                <w:sz w:val="24"/>
                <w:szCs w:val="24"/>
              </w:rPr>
              <w:t xml:space="preserve">3.3. Disposiciones derogadas, subrogadas, modificadas, adicionadas o sustituidas </w:t>
            </w:r>
          </w:p>
          <w:p w14:paraId="0000003F" w14:textId="77777777" w:rsidR="002012D8" w:rsidRDefault="002012D8">
            <w:pPr>
              <w:ind w:left="494" w:hanging="283"/>
              <w:jc w:val="both"/>
              <w:rPr>
                <w:rFonts w:ascii="Arial Narrow" w:eastAsia="Arial Narrow" w:hAnsi="Arial Narrow" w:cs="Arial Narrow"/>
                <w:b/>
                <w:bCs/>
                <w:sz w:val="24"/>
                <w:szCs w:val="24"/>
              </w:rPr>
            </w:pPr>
          </w:p>
          <w:p w14:paraId="00000040" w14:textId="77777777" w:rsidR="002012D8" w:rsidRDefault="0019396C">
            <w:pPr>
              <w:ind w:left="494" w:firstLine="7"/>
              <w:jc w:val="both"/>
              <w:rPr>
                <w:rFonts w:ascii="Arial Narrow" w:eastAsia="Arial Narrow" w:hAnsi="Arial Narrow" w:cs="Arial Narrow"/>
                <w:sz w:val="24"/>
                <w:szCs w:val="24"/>
              </w:rPr>
            </w:pPr>
            <w:r>
              <w:rPr>
                <w:rFonts w:ascii="Arial Narrow" w:eastAsia="Arial Narrow" w:hAnsi="Arial Narrow" w:cs="Arial Narrow"/>
                <w:sz w:val="24"/>
                <w:szCs w:val="24"/>
              </w:rPr>
              <w:t>La presente resolución no deroga, modifica ni sustituye actos administrativos previos. Corresponde a una declaratoria de nueva área protegida del orden nacional.</w:t>
            </w:r>
          </w:p>
          <w:p w14:paraId="00000041" w14:textId="77777777" w:rsidR="002012D8" w:rsidRDefault="002012D8">
            <w:pPr>
              <w:ind w:left="494" w:hanging="283"/>
              <w:jc w:val="both"/>
              <w:rPr>
                <w:rFonts w:ascii="Arial Narrow" w:eastAsia="Arial Narrow" w:hAnsi="Arial Narrow" w:cs="Arial Narrow"/>
                <w:sz w:val="24"/>
                <w:szCs w:val="24"/>
              </w:rPr>
            </w:pPr>
          </w:p>
          <w:p w14:paraId="00000042" w14:textId="77777777" w:rsidR="002012D8" w:rsidRDefault="002012D8">
            <w:pPr>
              <w:ind w:left="494" w:hanging="283"/>
              <w:jc w:val="both"/>
              <w:rPr>
                <w:rFonts w:ascii="Arial Narrow" w:eastAsia="Arial Narrow" w:hAnsi="Arial Narrow" w:cs="Arial Narrow"/>
                <w:sz w:val="24"/>
                <w:szCs w:val="24"/>
              </w:rPr>
            </w:pPr>
          </w:p>
          <w:p w14:paraId="00000043" w14:textId="77777777" w:rsidR="002012D8" w:rsidRDefault="0019396C">
            <w:pPr>
              <w:ind w:left="494" w:hanging="283"/>
              <w:jc w:val="both"/>
              <w:rPr>
                <w:rFonts w:ascii="Arial Narrow" w:eastAsia="Arial Narrow" w:hAnsi="Arial Narrow" w:cs="Arial Narrow"/>
                <w:b/>
                <w:bCs/>
                <w:sz w:val="24"/>
                <w:szCs w:val="24"/>
              </w:rPr>
            </w:pPr>
            <w:r>
              <w:rPr>
                <w:rFonts w:ascii="Arial Narrow" w:eastAsia="Arial Narrow" w:hAnsi="Arial Narrow" w:cs="Arial Narrow"/>
                <w:b/>
                <w:bCs/>
                <w:sz w:val="24"/>
                <w:szCs w:val="24"/>
              </w:rPr>
              <w:t>3.4 Revisión y análisis de la jurisprudencia que tenga impacto o sea relevante para la expedición del proyecto normativo (órganos de cierre de cada jurisdicción)</w:t>
            </w:r>
          </w:p>
          <w:p w14:paraId="00000044" w14:textId="77777777" w:rsidR="002012D8" w:rsidRDefault="0019396C">
            <w:pPr>
              <w:spacing w:before="280" w:after="280"/>
              <w:rPr>
                <w:rFonts w:ascii="Arial Narrow" w:eastAsia="Arial Narrow" w:hAnsi="Arial Narrow" w:cs="Arial Narrow"/>
                <w:sz w:val="24"/>
                <w:szCs w:val="24"/>
              </w:rPr>
            </w:pPr>
            <w:r>
              <w:rPr>
                <w:rFonts w:ascii="Arial Narrow" w:eastAsia="Arial Narrow" w:hAnsi="Arial Narrow" w:cs="Arial Narrow"/>
                <w:sz w:val="24"/>
                <w:szCs w:val="24"/>
              </w:rPr>
              <w:t>La Corte Constitucional ha desarrollado una amplia línea jurisprudencial sobre la protección reforzada de las áreas protegidas, la biodiversidad y el deber estatal de conservación, entre las que se destacan:</w:t>
            </w:r>
          </w:p>
          <w:p w14:paraId="00000045" w14:textId="77777777" w:rsidR="002012D8" w:rsidRDefault="0019396C">
            <w:pPr>
              <w:spacing w:before="280" w:after="280"/>
              <w:rPr>
                <w:rFonts w:ascii="Arial Narrow" w:eastAsia="Arial Narrow" w:hAnsi="Arial Narrow" w:cs="Arial Narrow"/>
                <w:b/>
                <w:bCs/>
                <w:sz w:val="24"/>
                <w:szCs w:val="24"/>
              </w:rPr>
            </w:pPr>
            <w:r>
              <w:rPr>
                <w:rFonts w:ascii="Arial Narrow" w:eastAsia="Arial Narrow" w:hAnsi="Arial Narrow" w:cs="Arial Narrow"/>
                <w:b/>
                <w:bCs/>
                <w:sz w:val="24"/>
                <w:szCs w:val="24"/>
              </w:rPr>
              <w:t xml:space="preserve">• Sentencia C-649 de 1997. </w:t>
            </w:r>
            <w:r>
              <w:rPr>
                <w:rFonts w:ascii="Arial Narrow" w:eastAsia="Arial Narrow" w:hAnsi="Arial Narrow" w:cs="Arial Narrow"/>
                <w:sz w:val="24"/>
                <w:szCs w:val="24"/>
              </w:rPr>
              <w:t>Magistrado ponente: Dr. Antonio Barrera Carbonell.</w:t>
            </w:r>
            <w:r>
              <w:rPr>
                <w:rFonts w:ascii="Arial Narrow" w:eastAsia="Arial Narrow" w:hAnsi="Arial Narrow" w:cs="Arial Narrow"/>
                <w:b/>
                <w:bCs/>
                <w:sz w:val="24"/>
                <w:szCs w:val="24"/>
              </w:rPr>
              <w:t xml:space="preserve"> </w:t>
            </w:r>
          </w:p>
          <w:p w14:paraId="00000046" w14:textId="77777777" w:rsidR="002012D8" w:rsidRDefault="0019396C">
            <w:pPr>
              <w:spacing w:before="280" w:after="280"/>
              <w:jc w:val="both"/>
              <w:rPr>
                <w:rFonts w:ascii="Arial Narrow" w:eastAsia="Arial Narrow" w:hAnsi="Arial Narrow" w:cs="Arial Narrow"/>
                <w:sz w:val="24"/>
                <w:szCs w:val="24"/>
              </w:rPr>
            </w:pPr>
            <w:r>
              <w:rPr>
                <w:rFonts w:ascii="Arial Narrow" w:eastAsia="Arial Narrow" w:hAnsi="Arial Narrow" w:cs="Arial Narrow"/>
                <w:i/>
                <w:iCs/>
                <w:sz w:val="24"/>
                <w:szCs w:val="24"/>
              </w:rPr>
              <w:t xml:space="preserve">“La voluntad del Constituyente fue que las áreas integradas al sistema de parques nacionales se mantuvieran afectadas a las finalidades que le son propias; por consiguiente, la calidad de inalienables de los parques naturales, reconocida en el art. 63 debe entenderse, en armonía con los arts. 79 y 80, esto es, </w:t>
            </w:r>
            <w:r>
              <w:rPr>
                <w:rFonts w:ascii="Arial Narrow" w:eastAsia="Arial Narrow" w:hAnsi="Arial Narrow" w:cs="Arial Narrow"/>
                <w:i/>
                <w:iCs/>
                <w:sz w:val="24"/>
                <w:szCs w:val="24"/>
                <w:u w:val="single"/>
              </w:rPr>
              <w:t>que las áreas o zonas que los integran no pueden ser objeto de sustracción o cambio de destinación.</w:t>
            </w:r>
            <w:r>
              <w:rPr>
                <w:rFonts w:ascii="Arial Narrow" w:eastAsia="Arial Narrow" w:hAnsi="Arial Narrow" w:cs="Arial Narrow"/>
                <w:i/>
                <w:iCs/>
                <w:sz w:val="24"/>
                <w:szCs w:val="24"/>
              </w:rPr>
              <w:t xml:space="preserve"> En tales condiciones, ni el legislador ni la administración facultada por éste, pueden sustraer, por cualquier medio las áreas pertenecientes al referido sistema”.</w:t>
            </w:r>
          </w:p>
          <w:p w14:paraId="00000047" w14:textId="77777777" w:rsidR="002012D8" w:rsidRDefault="0019396C">
            <w:pPr>
              <w:shd w:val="clear" w:color="auto" w:fill="FFFFFF"/>
              <w:jc w:val="both"/>
              <w:rPr>
                <w:rFonts w:ascii="Arial Narrow" w:eastAsia="Arial Narrow" w:hAnsi="Arial Narrow" w:cs="Arial Narrow"/>
                <w:b/>
                <w:bCs/>
                <w:sz w:val="24"/>
                <w:szCs w:val="24"/>
              </w:rPr>
            </w:pPr>
            <w:r>
              <w:rPr>
                <w:rFonts w:ascii="Arial Narrow" w:eastAsia="Arial Narrow" w:hAnsi="Arial Narrow" w:cs="Arial Narrow"/>
                <w:b/>
                <w:bCs/>
                <w:sz w:val="24"/>
                <w:szCs w:val="24"/>
              </w:rPr>
              <w:t xml:space="preserve">• Sentencia C-339 de 2002. </w:t>
            </w:r>
            <w:r>
              <w:rPr>
                <w:rFonts w:ascii="Arial Narrow" w:eastAsia="Arial Narrow" w:hAnsi="Arial Narrow" w:cs="Arial Narrow"/>
                <w:sz w:val="24"/>
                <w:szCs w:val="24"/>
              </w:rPr>
              <w:t>Magistrado Ponente: Dr. Jaime Araujo Rentería</w:t>
            </w:r>
          </w:p>
          <w:p w14:paraId="00000048" w14:textId="77777777" w:rsidR="002012D8" w:rsidRDefault="0019396C">
            <w:pPr>
              <w:spacing w:before="280" w:after="280"/>
              <w:jc w:val="both"/>
              <w:rPr>
                <w:rFonts w:ascii="Arial Narrow" w:eastAsia="Arial Narrow" w:hAnsi="Arial Narrow" w:cs="Arial Narrow"/>
                <w:i/>
                <w:iCs/>
                <w:sz w:val="24"/>
                <w:szCs w:val="24"/>
              </w:rPr>
            </w:pPr>
            <w:r>
              <w:rPr>
                <w:rFonts w:ascii="Arial Narrow" w:eastAsia="Arial Narrow" w:hAnsi="Arial Narrow" w:cs="Arial Narrow"/>
                <w:i/>
                <w:iCs/>
                <w:sz w:val="24"/>
                <w:szCs w:val="24"/>
              </w:rPr>
              <w:lastRenderedPageBreak/>
              <w:t>“Mientras por una parte se reconoce el medio ambiente sano como un derecho del cual son titulares todas las personas (...), por la otra se le impone al Estado los deberes correlativos de: 1) proteger su diversidad e integridad, 2) salvaguardar las riquezas naturales de la Nación, 3) conservar las áreas de especial importancia ecológica, (...) 5) planificar el manejo y aprovechamiento de los recursos naturales para así garantizar su desarrollo sostenible, su conservación, restauración o sustitución, 6) prevenir y controlar los factores de deterioro ambiental (...)”</w:t>
            </w:r>
          </w:p>
          <w:p w14:paraId="00000049" w14:textId="77777777" w:rsidR="002012D8" w:rsidRDefault="0019396C">
            <w:pPr>
              <w:spacing w:before="280" w:after="280"/>
              <w:jc w:val="both"/>
              <w:rPr>
                <w:rFonts w:ascii="Arial Narrow" w:eastAsia="Arial Narrow" w:hAnsi="Arial Narrow" w:cs="Arial Narrow"/>
                <w:i/>
                <w:iCs/>
                <w:sz w:val="24"/>
                <w:szCs w:val="24"/>
              </w:rPr>
            </w:pPr>
            <w:r>
              <w:rPr>
                <w:rFonts w:ascii="Arial Narrow" w:eastAsia="Arial Narrow" w:hAnsi="Arial Narrow" w:cs="Arial Narrow"/>
                <w:i/>
                <w:iCs/>
                <w:sz w:val="24"/>
                <w:szCs w:val="24"/>
              </w:rPr>
              <w:t>“Esta situación revela la conservación de la biodiversidad como un objetivo esencial para la sociedad en general, siendo responsabilidad prioritaria de todas las instituciones del Estado armonizar su protección con los objetivos de crecimiento económico...”</w:t>
            </w:r>
          </w:p>
          <w:p w14:paraId="0000004A" w14:textId="77777777" w:rsidR="002012D8" w:rsidRDefault="0019396C">
            <w:pPr>
              <w:spacing w:before="280" w:after="280"/>
              <w:jc w:val="both"/>
              <w:rPr>
                <w:rFonts w:ascii="Arial Narrow" w:eastAsia="Arial Narrow" w:hAnsi="Arial Narrow" w:cs="Arial Narrow"/>
                <w:i/>
                <w:iCs/>
                <w:sz w:val="24"/>
                <w:szCs w:val="24"/>
              </w:rPr>
            </w:pPr>
            <w:r>
              <w:rPr>
                <w:rFonts w:ascii="Arial Narrow" w:eastAsia="Arial Narrow" w:hAnsi="Arial Narrow" w:cs="Arial Narrow"/>
                <w:i/>
                <w:iCs/>
                <w:sz w:val="24"/>
                <w:szCs w:val="24"/>
              </w:rPr>
              <w:t xml:space="preserve">“Es por ello </w:t>
            </w:r>
            <w:proofErr w:type="gramStart"/>
            <w:r>
              <w:rPr>
                <w:rFonts w:ascii="Arial Narrow" w:eastAsia="Arial Narrow" w:hAnsi="Arial Narrow" w:cs="Arial Narrow"/>
                <w:i/>
                <w:iCs/>
                <w:sz w:val="24"/>
                <w:szCs w:val="24"/>
              </w:rPr>
              <w:t>que</w:t>
            </w:r>
            <w:proofErr w:type="gramEnd"/>
            <w:r>
              <w:rPr>
                <w:rFonts w:ascii="Arial Narrow" w:eastAsia="Arial Narrow" w:hAnsi="Arial Narrow" w:cs="Arial Narrow"/>
                <w:i/>
                <w:iCs/>
                <w:sz w:val="24"/>
                <w:szCs w:val="24"/>
              </w:rPr>
              <w:t xml:space="preserve"> la Constitución de 1991 reafirma la propiedad del Estado sobre el subsuelo y los recursos naturales no renovables (...) para establecer una serie de políticas de planificación dirigidas a la protección ambiental y de la biodiversidad, en armonía con el aprovechamiento de los recursos naturales.”</w:t>
            </w:r>
          </w:p>
          <w:p w14:paraId="0000004B" w14:textId="77777777" w:rsidR="002012D8" w:rsidRDefault="0019396C">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La Corte Constitucional, en la Sentencia C-339 de 2002, reiteró que la defensa de los recursos naturales y del ambiente sano constituye uno de los principales objetivos de la Constitución de 1991 y que corresponde al Estado, entre otros deberes, “proteger su diversidad e integridad, salvaguardar las riquezas naturales de la Nación y conservar las áreas de especial importancia ecológica”. Asimismo, señaló que la conservación de la biodiversidad constituye un objetivo esencial para la sociedad y una responsabilidad prioritaria de las instituciones públicas. En este contexto, la declaratoria del Santuario de Flora Palmares de </w:t>
            </w:r>
            <w:proofErr w:type="spellStart"/>
            <w:r>
              <w:rPr>
                <w:rFonts w:ascii="Arial Narrow" w:eastAsia="Arial Narrow" w:hAnsi="Arial Narrow" w:cs="Arial Narrow"/>
                <w:sz w:val="24"/>
                <w:szCs w:val="24"/>
              </w:rPr>
              <w:t>Tochecito</w:t>
            </w:r>
            <w:proofErr w:type="spellEnd"/>
            <w:r>
              <w:rPr>
                <w:rFonts w:ascii="Arial Narrow" w:eastAsia="Arial Narrow" w:hAnsi="Arial Narrow" w:cs="Arial Narrow"/>
                <w:sz w:val="24"/>
                <w:szCs w:val="24"/>
              </w:rPr>
              <w:t xml:space="preserve"> materializa dichos mandatos constitucionales mediante la protección permanente de una muestra representativa de las poblaciones naturales de palma de cera del Quindío (</w:t>
            </w:r>
            <w:proofErr w:type="spellStart"/>
            <w:r>
              <w:rPr>
                <w:rFonts w:ascii="Arial Narrow" w:eastAsia="Arial Narrow" w:hAnsi="Arial Narrow" w:cs="Arial Narrow"/>
                <w:sz w:val="24"/>
                <w:szCs w:val="24"/>
              </w:rPr>
              <w:t>Ceroxylon</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quindiuense</w:t>
            </w:r>
            <w:proofErr w:type="spellEnd"/>
            <w:r>
              <w:rPr>
                <w:rFonts w:ascii="Arial Narrow" w:eastAsia="Arial Narrow" w:hAnsi="Arial Narrow" w:cs="Arial Narrow"/>
                <w:sz w:val="24"/>
                <w:szCs w:val="24"/>
              </w:rPr>
              <w:t>), de los ecosistemas andinos y altoandinos asociados y de los servicios ecosistémicos estratégicos que estos proveen.</w:t>
            </w:r>
          </w:p>
          <w:p w14:paraId="0000004C" w14:textId="77777777" w:rsidR="002012D8" w:rsidRDefault="0019396C">
            <w:pPr>
              <w:spacing w:before="280" w:after="280"/>
              <w:rPr>
                <w:rFonts w:ascii="Arial Narrow" w:eastAsia="Arial Narrow" w:hAnsi="Arial Narrow" w:cs="Arial Narrow"/>
                <w:b/>
                <w:bCs/>
                <w:sz w:val="24"/>
                <w:szCs w:val="24"/>
              </w:rPr>
            </w:pPr>
            <w:r>
              <w:rPr>
                <w:rFonts w:ascii="Arial Narrow" w:eastAsia="Arial Narrow" w:hAnsi="Arial Narrow" w:cs="Arial Narrow"/>
                <w:b/>
                <w:bCs/>
                <w:sz w:val="24"/>
                <w:szCs w:val="24"/>
              </w:rPr>
              <w:br/>
              <w:t>• Sentencia T-622 de 2016. Magistrado Ponente: Jorge Iván Palacio.</w:t>
            </w:r>
          </w:p>
          <w:p w14:paraId="0000004D" w14:textId="77777777" w:rsidR="002012D8" w:rsidRDefault="0019396C">
            <w:pPr>
              <w:jc w:val="both"/>
              <w:rPr>
                <w:rFonts w:ascii="Arial Narrow" w:eastAsia="Arial Narrow" w:hAnsi="Arial Narrow" w:cs="Arial Narrow"/>
                <w:i/>
                <w:iCs/>
                <w:sz w:val="24"/>
                <w:szCs w:val="24"/>
              </w:rPr>
            </w:pPr>
            <w:r>
              <w:rPr>
                <w:rFonts w:ascii="Arial Narrow" w:eastAsia="Arial Narrow" w:hAnsi="Arial Narrow" w:cs="Arial Narrow"/>
                <w:i/>
                <w:iCs/>
                <w:sz w:val="24"/>
                <w:szCs w:val="24"/>
              </w:rPr>
              <w:t xml:space="preserve">“El principio de precaución se erige como una herramienta jurídica de gran importancia, en tanto responde a la incertidumbre técnica y científica que muchas veces se cierne sobre las cuestiones ambientales, por la inconmensurabilidad de algunos factores contaminantes, por la falta de sistemas adecuados de medición o por el desvanecimiento del daño en el tiempo”. </w:t>
            </w:r>
          </w:p>
          <w:p w14:paraId="0000004E" w14:textId="77777777" w:rsidR="002012D8" w:rsidRDefault="002012D8">
            <w:pPr>
              <w:jc w:val="both"/>
              <w:rPr>
                <w:rFonts w:ascii="Arial Narrow" w:eastAsia="Arial Narrow" w:hAnsi="Arial Narrow" w:cs="Arial Narrow"/>
                <w:i/>
                <w:iCs/>
                <w:sz w:val="24"/>
                <w:szCs w:val="24"/>
              </w:rPr>
            </w:pPr>
          </w:p>
          <w:p w14:paraId="0000004F" w14:textId="77777777" w:rsidR="002012D8" w:rsidRDefault="0019396C">
            <w:pPr>
              <w:jc w:val="both"/>
              <w:rPr>
                <w:rFonts w:ascii="Arial Narrow" w:eastAsia="Arial Narrow" w:hAnsi="Arial Narrow" w:cs="Arial Narrow"/>
                <w:i/>
                <w:iCs/>
                <w:sz w:val="24"/>
                <w:szCs w:val="24"/>
              </w:rPr>
            </w:pPr>
            <w:r>
              <w:rPr>
                <w:rFonts w:ascii="Arial Narrow" w:eastAsia="Arial Narrow" w:hAnsi="Arial Narrow" w:cs="Arial Narrow"/>
                <w:i/>
                <w:iCs/>
                <w:sz w:val="24"/>
                <w:szCs w:val="24"/>
              </w:rPr>
              <w:t>“La protección del medio ambiente es un objetivo fundamental dentro de la estructura del Estado Social de Derecho.”</w:t>
            </w:r>
          </w:p>
          <w:p w14:paraId="00000050" w14:textId="77777777" w:rsidR="002012D8" w:rsidRDefault="0019396C">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La Corte Constitucional, mediante la Sentencia T-622 de 2016, reiteró que la protección del medio ambiente constituye un objetivo fundamental dentro de la estructura del Estado Social de Derecho y destacó la necesidad de brindar especial protección a los bosques, la biodiversidad y demás ecosistemas estratégicos. Asimismo, desarrolló el concepto de derechos bioculturales, reconociendo la estrecha relación existente entre la naturaleza y los valores culturales asociados a los territorios. Bajo esta perspectiva, la declaratoria del Santuario de Flora Palmares de </w:t>
            </w:r>
            <w:proofErr w:type="spellStart"/>
            <w:r>
              <w:rPr>
                <w:rFonts w:ascii="Arial Narrow" w:eastAsia="Arial Narrow" w:hAnsi="Arial Narrow" w:cs="Arial Narrow"/>
                <w:sz w:val="24"/>
                <w:szCs w:val="24"/>
              </w:rPr>
              <w:t>Tochecito</w:t>
            </w:r>
            <w:proofErr w:type="spellEnd"/>
            <w:r>
              <w:rPr>
                <w:rFonts w:ascii="Arial Narrow" w:eastAsia="Arial Narrow" w:hAnsi="Arial Narrow" w:cs="Arial Narrow"/>
                <w:sz w:val="24"/>
                <w:szCs w:val="24"/>
              </w:rPr>
              <w:t xml:space="preserve"> constituye una medida necesaria para garantizar la conservación integral de las poblaciones naturales de palma de cera del Quindío (</w:t>
            </w:r>
            <w:proofErr w:type="spellStart"/>
            <w:r>
              <w:rPr>
                <w:rFonts w:ascii="Arial Narrow" w:eastAsia="Arial Narrow" w:hAnsi="Arial Narrow" w:cs="Arial Narrow"/>
                <w:i/>
                <w:iCs/>
                <w:sz w:val="24"/>
                <w:szCs w:val="24"/>
              </w:rPr>
              <w:t>Ceroxylon</w:t>
            </w:r>
            <w:proofErr w:type="spellEnd"/>
            <w:r>
              <w:rPr>
                <w:rFonts w:ascii="Arial Narrow" w:eastAsia="Arial Narrow" w:hAnsi="Arial Narrow" w:cs="Arial Narrow"/>
                <w:i/>
                <w:iCs/>
                <w:sz w:val="24"/>
                <w:szCs w:val="24"/>
              </w:rPr>
              <w:t xml:space="preserve"> </w:t>
            </w:r>
            <w:proofErr w:type="spellStart"/>
            <w:r>
              <w:rPr>
                <w:rFonts w:ascii="Arial Narrow" w:eastAsia="Arial Narrow" w:hAnsi="Arial Narrow" w:cs="Arial Narrow"/>
                <w:i/>
                <w:iCs/>
                <w:sz w:val="24"/>
                <w:szCs w:val="24"/>
              </w:rPr>
              <w:t>quindiuense</w:t>
            </w:r>
            <w:proofErr w:type="spellEnd"/>
            <w:r>
              <w:rPr>
                <w:rFonts w:ascii="Arial Narrow" w:eastAsia="Arial Narrow" w:hAnsi="Arial Narrow" w:cs="Arial Narrow"/>
                <w:sz w:val="24"/>
                <w:szCs w:val="24"/>
              </w:rPr>
              <w:t xml:space="preserve">), de los ecosistemas andinos y altoandinos que las sustentan, de los servicios ecosistémicos que proveen y </w:t>
            </w:r>
            <w:r>
              <w:rPr>
                <w:rFonts w:ascii="Arial Narrow" w:eastAsia="Arial Narrow" w:hAnsi="Arial Narrow" w:cs="Arial Narrow"/>
                <w:sz w:val="24"/>
                <w:szCs w:val="24"/>
              </w:rPr>
              <w:lastRenderedPageBreak/>
              <w:t>de los valores culturales e históricos asociados al territorio, en aplicación de los principios de protección ambiental, prevención y precaución desarrollados por la jurisprudencia constitucional.</w:t>
            </w:r>
          </w:p>
          <w:p w14:paraId="00000051" w14:textId="77777777" w:rsidR="002012D8" w:rsidRDefault="0019396C">
            <w:pPr>
              <w:spacing w:before="280" w:after="280"/>
              <w:rPr>
                <w:rFonts w:ascii="Arial Narrow" w:eastAsia="Arial Narrow" w:hAnsi="Arial Narrow" w:cs="Arial Narrow"/>
                <w:i/>
                <w:iCs/>
                <w:sz w:val="24"/>
                <w:szCs w:val="24"/>
              </w:rPr>
            </w:pPr>
            <w:r>
              <w:rPr>
                <w:rFonts w:ascii="Arial Narrow" w:eastAsia="Arial Narrow" w:hAnsi="Arial Narrow" w:cs="Arial Narrow"/>
                <w:b/>
                <w:bCs/>
                <w:sz w:val="24"/>
                <w:szCs w:val="24"/>
              </w:rPr>
              <w:br/>
              <w:t>• Sentencia C-123 de 2014. Magistrado Ponente: Alberto Rojas Ríos</w:t>
            </w:r>
            <w:r>
              <w:rPr>
                <w:rFonts w:ascii="Arial Narrow" w:eastAsia="Arial Narrow" w:hAnsi="Arial Narrow" w:cs="Arial Narrow"/>
                <w:b/>
                <w:bCs/>
                <w:sz w:val="24"/>
                <w:szCs w:val="24"/>
              </w:rPr>
              <w:br/>
            </w:r>
          </w:p>
          <w:p w14:paraId="00000052" w14:textId="77777777" w:rsidR="002012D8" w:rsidRDefault="0019396C">
            <w:pPr>
              <w:spacing w:before="280" w:after="280"/>
              <w:rPr>
                <w:rFonts w:ascii="Arial Narrow" w:eastAsia="Arial Narrow" w:hAnsi="Arial Narrow" w:cs="Arial Narrow"/>
                <w:i/>
                <w:iCs/>
                <w:sz w:val="24"/>
                <w:szCs w:val="24"/>
              </w:rPr>
            </w:pPr>
            <w:r>
              <w:rPr>
                <w:rFonts w:ascii="Arial Narrow" w:eastAsia="Arial Narrow" w:hAnsi="Arial Narrow" w:cs="Arial Narrow"/>
                <w:i/>
                <w:iCs/>
                <w:sz w:val="24"/>
                <w:szCs w:val="24"/>
              </w:rPr>
              <w:t>“Mientras por una parte se reconoce el medio ambiente sano como un derecho del cual son titulares todas las personas (...), por la otra se le impone al Estado los deberes correlativos de: 1) proteger su diversidad e integridad, 2) salvaguardar las riquezas naturales de la Nación, 3) conservar las áreas de especial importancia ecológica, (...) 5) planificar el manejo y aprovechamiento de los recursos naturales para así garantizar su desarrollo sostenible, su conservación, restauración o sustitución.”</w:t>
            </w:r>
          </w:p>
          <w:p w14:paraId="00000053" w14:textId="77777777" w:rsidR="002012D8" w:rsidRDefault="0019396C">
            <w:pPr>
              <w:spacing w:before="280" w:after="280"/>
              <w:rPr>
                <w:rFonts w:ascii="Arial Narrow" w:eastAsia="Arial Narrow" w:hAnsi="Arial Narrow" w:cs="Arial Narrow"/>
                <w:i/>
                <w:iCs/>
                <w:sz w:val="24"/>
                <w:szCs w:val="24"/>
              </w:rPr>
            </w:pPr>
            <w:r>
              <w:rPr>
                <w:rFonts w:ascii="Arial Narrow" w:eastAsia="Arial Narrow" w:hAnsi="Arial Narrow" w:cs="Arial Narrow"/>
                <w:i/>
                <w:iCs/>
                <w:sz w:val="24"/>
                <w:szCs w:val="24"/>
              </w:rPr>
              <w:t>“El énfasis de la Constitución de 1991 se materializa en un cúmulo de disposiciones que, entendidas sistemáticamente, denotan la importancia que tiene en nuestro ordenamiento jurídico el ambiente, ya sea como principio fundamental, derecho constitucional y deber constitucional.”</w:t>
            </w:r>
          </w:p>
          <w:p w14:paraId="00000054" w14:textId="77777777" w:rsidR="002012D8" w:rsidRDefault="0019396C">
            <w:pPr>
              <w:spacing w:before="280" w:after="280"/>
              <w:jc w:val="both"/>
              <w:rPr>
                <w:rFonts w:ascii="Arial Narrow" w:eastAsia="Arial Narrow" w:hAnsi="Arial Narrow" w:cs="Arial Narrow"/>
                <w:i/>
                <w:iCs/>
                <w:sz w:val="24"/>
                <w:szCs w:val="24"/>
              </w:rPr>
            </w:pPr>
            <w:r>
              <w:rPr>
                <w:rFonts w:ascii="Arial Narrow" w:eastAsia="Arial Narrow" w:hAnsi="Arial Narrow" w:cs="Arial Narrow"/>
                <w:sz w:val="24"/>
                <w:szCs w:val="24"/>
              </w:rPr>
              <w:t xml:space="preserve">La Corte Constitucional, en la Sentencia C-123 de 2014, reiteró que el ambiente constituye uno de los ejes estructurales del orden constitucional colombiano y recordó que corresponde al Estado proteger la diversidad e integridad del ambiente, salvaguardar las riquezas naturales de la Nación y conservar las áreas de especial importancia ecológica. Asimismo, señaló que los elementos que integran el ambiente pueden ser objeto de protección por su valor intrínseco y que la conservación de la biodiversidad constituye un objetivo esencial para la sociedad y una responsabilidad prioritaria de las instituciones públicas. En este contexto, la declaratoria del Santuario de Flora Palmares de </w:t>
            </w:r>
            <w:proofErr w:type="spellStart"/>
            <w:r>
              <w:rPr>
                <w:rFonts w:ascii="Arial Narrow" w:eastAsia="Arial Narrow" w:hAnsi="Arial Narrow" w:cs="Arial Narrow"/>
                <w:sz w:val="24"/>
                <w:szCs w:val="24"/>
              </w:rPr>
              <w:t>Tochecito</w:t>
            </w:r>
            <w:proofErr w:type="spellEnd"/>
            <w:r>
              <w:rPr>
                <w:rFonts w:ascii="Arial Narrow" w:eastAsia="Arial Narrow" w:hAnsi="Arial Narrow" w:cs="Arial Narrow"/>
                <w:sz w:val="24"/>
                <w:szCs w:val="24"/>
              </w:rPr>
              <w:t xml:space="preserve"> materializa dichos mandatos constitucionales al garantizar la conservación de una de las concentraciones más importantes de palma de cera del Quindío (</w:t>
            </w:r>
            <w:proofErr w:type="spellStart"/>
            <w:r>
              <w:rPr>
                <w:rFonts w:ascii="Arial Narrow" w:eastAsia="Arial Narrow" w:hAnsi="Arial Narrow" w:cs="Arial Narrow"/>
                <w:i/>
                <w:iCs/>
                <w:sz w:val="24"/>
                <w:szCs w:val="24"/>
              </w:rPr>
              <w:t>Ceroxylon</w:t>
            </w:r>
            <w:proofErr w:type="spellEnd"/>
            <w:r>
              <w:rPr>
                <w:rFonts w:ascii="Arial Narrow" w:eastAsia="Arial Narrow" w:hAnsi="Arial Narrow" w:cs="Arial Narrow"/>
                <w:i/>
                <w:iCs/>
                <w:sz w:val="24"/>
                <w:szCs w:val="24"/>
              </w:rPr>
              <w:t xml:space="preserve"> </w:t>
            </w:r>
            <w:proofErr w:type="spellStart"/>
            <w:r>
              <w:rPr>
                <w:rFonts w:ascii="Arial Narrow" w:eastAsia="Arial Narrow" w:hAnsi="Arial Narrow" w:cs="Arial Narrow"/>
                <w:i/>
                <w:iCs/>
                <w:sz w:val="24"/>
                <w:szCs w:val="24"/>
              </w:rPr>
              <w:t>quindiuense</w:t>
            </w:r>
            <w:proofErr w:type="spellEnd"/>
            <w:r>
              <w:rPr>
                <w:rFonts w:ascii="Arial Narrow" w:eastAsia="Arial Narrow" w:hAnsi="Arial Narrow" w:cs="Arial Narrow"/>
                <w:sz w:val="24"/>
                <w:szCs w:val="24"/>
              </w:rPr>
              <w:t>), de los ecosistemas andinos y altoandinos asociados, de la biodiversidad que albergan y de los valores ecológicos y culturales presentes en el territorio.</w:t>
            </w:r>
          </w:p>
          <w:p w14:paraId="00000055" w14:textId="77777777" w:rsidR="002012D8" w:rsidRDefault="0019396C">
            <w:pPr>
              <w:spacing w:before="280" w:after="280"/>
              <w:rPr>
                <w:rFonts w:ascii="Arial Narrow" w:eastAsia="Arial Narrow" w:hAnsi="Arial Narrow" w:cs="Arial Narrow"/>
                <w:sz w:val="24"/>
                <w:szCs w:val="24"/>
              </w:rPr>
            </w:pPr>
            <w:r>
              <w:rPr>
                <w:rFonts w:ascii="Arial Narrow" w:eastAsia="Arial Narrow" w:hAnsi="Arial Narrow" w:cs="Arial Narrow"/>
                <w:sz w:val="24"/>
                <w:szCs w:val="24"/>
              </w:rPr>
              <w:t>Estas decisiones reconocen el carácter de Constitución Ecológica de la Carta Política y la obligación estatal de adoptar medidas efectivas para garantizar la conservación de la biodiversidad y de las áreas de especial importancia ecológica.</w:t>
            </w:r>
          </w:p>
          <w:p w14:paraId="00000056" w14:textId="77777777" w:rsidR="002012D8" w:rsidRDefault="002012D8">
            <w:pPr>
              <w:ind w:left="494" w:hanging="283"/>
              <w:jc w:val="both"/>
              <w:rPr>
                <w:rFonts w:ascii="Arial Narrow" w:eastAsia="Arial Narrow" w:hAnsi="Arial Narrow" w:cs="Arial Narrow"/>
                <w:b/>
                <w:bCs/>
                <w:sz w:val="24"/>
                <w:szCs w:val="24"/>
              </w:rPr>
            </w:pPr>
          </w:p>
          <w:p w14:paraId="00000057" w14:textId="77777777" w:rsidR="002012D8" w:rsidRDefault="0019396C">
            <w:pPr>
              <w:ind w:left="494" w:hanging="283"/>
              <w:jc w:val="both"/>
              <w:rPr>
                <w:rFonts w:ascii="Arial Narrow" w:eastAsia="Arial Narrow" w:hAnsi="Arial Narrow" w:cs="Arial Narrow"/>
                <w:b/>
                <w:bCs/>
                <w:sz w:val="24"/>
                <w:szCs w:val="24"/>
              </w:rPr>
            </w:pPr>
            <w:r>
              <w:rPr>
                <w:rFonts w:ascii="Arial Narrow" w:eastAsia="Arial Narrow" w:hAnsi="Arial Narrow" w:cs="Arial Narrow"/>
                <w:b/>
                <w:bCs/>
                <w:sz w:val="24"/>
                <w:szCs w:val="24"/>
              </w:rPr>
              <w:t>3.5 Circunstancias jurídicas adicionales</w:t>
            </w:r>
          </w:p>
          <w:p w14:paraId="00000058" w14:textId="77777777" w:rsidR="002012D8" w:rsidRDefault="002012D8">
            <w:pPr>
              <w:ind w:left="494" w:hanging="283"/>
              <w:jc w:val="both"/>
              <w:rPr>
                <w:rFonts w:ascii="Arial Narrow" w:eastAsia="Arial Narrow" w:hAnsi="Arial Narrow" w:cs="Arial Narrow"/>
                <w:b/>
                <w:bCs/>
                <w:sz w:val="24"/>
                <w:szCs w:val="24"/>
              </w:rPr>
            </w:pPr>
          </w:p>
          <w:p w14:paraId="00000059" w14:textId="60559108" w:rsidR="002012D8" w:rsidRPr="00FC07BE" w:rsidRDefault="0019396C">
            <w:pPr>
              <w:ind w:left="494" w:firstLine="7"/>
              <w:jc w:val="both"/>
              <w:rPr>
                <w:rFonts w:ascii="Arial Narrow" w:eastAsia="Arial Narrow" w:hAnsi="Arial Narrow" w:cs="Arial Narrow"/>
                <w:sz w:val="24"/>
                <w:szCs w:val="24"/>
              </w:rPr>
            </w:pPr>
            <w:r>
              <w:rPr>
                <w:rFonts w:ascii="Arial Narrow" w:eastAsia="Arial Narrow" w:hAnsi="Arial Narrow" w:cs="Arial Narrow"/>
                <w:sz w:val="24"/>
                <w:szCs w:val="24"/>
              </w:rPr>
              <w:t xml:space="preserve">Sobre consulta pública del acto administrativo: En el marco del requisito de consulta pública que debe surtirse, se </w:t>
            </w:r>
            <w:r w:rsidRPr="00FC07BE">
              <w:rPr>
                <w:rFonts w:ascii="Arial Narrow" w:eastAsia="Arial Narrow" w:hAnsi="Arial Narrow" w:cs="Arial Narrow"/>
                <w:sz w:val="24"/>
                <w:szCs w:val="24"/>
              </w:rPr>
              <w:t xml:space="preserve">considera que la misma </w:t>
            </w:r>
            <w:r w:rsidR="00625A51" w:rsidRPr="00FC07BE">
              <w:rPr>
                <w:rFonts w:ascii="Arial Narrow" w:eastAsia="Arial Narrow" w:hAnsi="Arial Narrow" w:cs="Arial Narrow"/>
                <w:sz w:val="24"/>
                <w:szCs w:val="24"/>
              </w:rPr>
              <w:t xml:space="preserve">puede </w:t>
            </w:r>
            <w:r w:rsidRPr="00FC07BE">
              <w:rPr>
                <w:rFonts w:ascii="Arial Narrow" w:eastAsia="Arial Narrow" w:hAnsi="Arial Narrow" w:cs="Arial Narrow"/>
                <w:sz w:val="24"/>
                <w:szCs w:val="24"/>
              </w:rPr>
              <w:t>efectuarse en un término 1</w:t>
            </w:r>
            <w:r w:rsidR="00625A51" w:rsidRPr="00FC07BE">
              <w:rPr>
                <w:rFonts w:ascii="Arial Narrow" w:eastAsia="Arial Narrow" w:hAnsi="Arial Narrow" w:cs="Arial Narrow"/>
                <w:sz w:val="24"/>
                <w:szCs w:val="24"/>
              </w:rPr>
              <w:t>0</w:t>
            </w:r>
            <w:r w:rsidRPr="00FC07BE">
              <w:rPr>
                <w:rFonts w:ascii="Arial Narrow" w:eastAsia="Arial Narrow" w:hAnsi="Arial Narrow" w:cs="Arial Narrow"/>
                <w:sz w:val="24"/>
                <w:szCs w:val="24"/>
              </w:rPr>
              <w:t xml:space="preserve"> días calendario</w:t>
            </w:r>
            <w:r w:rsidR="00625A51" w:rsidRPr="00FC07BE">
              <w:rPr>
                <w:rFonts w:ascii="Arial Narrow" w:eastAsia="Arial Narrow" w:hAnsi="Arial Narrow" w:cs="Arial Narrow"/>
                <w:sz w:val="24"/>
                <w:szCs w:val="24"/>
              </w:rPr>
              <w:t>.</w:t>
            </w:r>
          </w:p>
          <w:p w14:paraId="64F9FBDC" w14:textId="30708CC7" w:rsidR="00625A51" w:rsidRPr="00FC07BE" w:rsidRDefault="00625A51">
            <w:pPr>
              <w:ind w:left="494" w:firstLine="7"/>
              <w:jc w:val="both"/>
              <w:rPr>
                <w:rFonts w:ascii="Arial Narrow" w:eastAsia="Arial Narrow" w:hAnsi="Arial Narrow" w:cs="Arial Narrow"/>
                <w:sz w:val="24"/>
                <w:szCs w:val="24"/>
              </w:rPr>
            </w:pPr>
          </w:p>
          <w:p w14:paraId="0FD06369" w14:textId="1D35667D" w:rsidR="00625A51" w:rsidRDefault="00625A51">
            <w:pPr>
              <w:ind w:left="494" w:firstLine="7"/>
              <w:jc w:val="both"/>
              <w:rPr>
                <w:rFonts w:ascii="Arial Narrow" w:eastAsia="Arial Narrow" w:hAnsi="Arial Narrow" w:cs="Arial Narrow"/>
                <w:sz w:val="24"/>
                <w:szCs w:val="24"/>
              </w:rPr>
            </w:pPr>
            <w:r w:rsidRPr="00FC07BE">
              <w:rPr>
                <w:rFonts w:ascii="Arial Narrow" w:eastAsia="Arial Narrow" w:hAnsi="Arial Narrow" w:cs="Arial Narrow"/>
                <w:sz w:val="24"/>
                <w:szCs w:val="24"/>
              </w:rPr>
              <w:t xml:space="preserve">Lo anterior, considerando lo dispuesto en el </w:t>
            </w:r>
            <w:r w:rsidRPr="00FC07BE">
              <w:rPr>
                <w:rFonts w:ascii="Arial Narrow" w:eastAsia="Arial Narrow" w:hAnsi="Arial Narrow" w:cs="Arial Narrow"/>
                <w:bCs/>
                <w:sz w:val="24"/>
                <w:szCs w:val="24"/>
              </w:rPr>
              <w:t>artículo 2.1.2.5.1.4 del Decreto 385 del 7 de abril de 2026, conforme al cual</w:t>
            </w:r>
            <w:r>
              <w:rPr>
                <w:rFonts w:ascii="Arial Narrow" w:eastAsia="Arial Narrow" w:hAnsi="Arial Narrow" w:cs="Arial Narrow"/>
                <w:bCs/>
                <w:sz w:val="24"/>
                <w:szCs w:val="24"/>
              </w:rPr>
              <w:t xml:space="preserve"> “</w:t>
            </w:r>
            <w:r w:rsidRPr="00625A51">
              <w:rPr>
                <w:rFonts w:ascii="Arial Narrow" w:eastAsia="Arial Narrow" w:hAnsi="Arial Narrow" w:cs="Arial Narrow"/>
                <w:bCs/>
                <w:sz w:val="24"/>
                <w:szCs w:val="24"/>
              </w:rPr>
              <w:t>Excepcionalmente, la publicación podrá hacerse por un plazo inferior, siempre que la entidad que lidera el proyecto lo justifique de manera adecuada. En cualquier caso, el plazo deberá ser razonable y ajustado a la necesidad de la regulación. Estos aspectos deberán ser desarrollados en la memoria justificativa</w:t>
            </w:r>
            <w:r>
              <w:rPr>
                <w:rFonts w:ascii="Arial Narrow" w:eastAsia="Arial Narrow" w:hAnsi="Arial Narrow" w:cs="Arial Narrow"/>
                <w:bCs/>
                <w:sz w:val="24"/>
                <w:szCs w:val="24"/>
              </w:rPr>
              <w:t>.”</w:t>
            </w:r>
          </w:p>
          <w:p w14:paraId="2E04B2F2" w14:textId="68D570AD" w:rsidR="00625A51" w:rsidRDefault="00625A51">
            <w:pPr>
              <w:ind w:left="494" w:firstLine="7"/>
              <w:jc w:val="both"/>
              <w:rPr>
                <w:rFonts w:ascii="Arial Narrow" w:eastAsia="Arial Narrow" w:hAnsi="Arial Narrow" w:cs="Arial Narrow"/>
                <w:sz w:val="24"/>
                <w:szCs w:val="24"/>
              </w:rPr>
            </w:pPr>
          </w:p>
          <w:p w14:paraId="6F6F54A7" w14:textId="2547D7EC" w:rsidR="00625A51" w:rsidRDefault="00625A51">
            <w:pPr>
              <w:ind w:left="494" w:firstLine="7"/>
              <w:jc w:val="both"/>
              <w:rPr>
                <w:rFonts w:ascii="Arial Narrow" w:eastAsia="Arial Narrow" w:hAnsi="Arial Narrow" w:cs="Arial Narrow"/>
                <w:sz w:val="24"/>
                <w:szCs w:val="24"/>
              </w:rPr>
            </w:pPr>
            <w:r>
              <w:rPr>
                <w:rFonts w:ascii="Arial Narrow" w:eastAsia="Arial Narrow" w:hAnsi="Arial Narrow" w:cs="Arial Narrow"/>
                <w:sz w:val="24"/>
                <w:szCs w:val="24"/>
              </w:rPr>
              <w:t xml:space="preserve">En efecto, en el proceso de declaratoria de esta nueva área protegida se ha socializado esta iniciativa, tanto con los propietarios de los predios que van a integrar el área protegida como con las comunidades vecinas. Por esta razón, </w:t>
            </w:r>
            <w:r>
              <w:rPr>
                <w:rFonts w:ascii="Arial Narrow" w:eastAsia="Arial Narrow" w:hAnsi="Arial Narrow" w:cs="Arial Narrow"/>
                <w:sz w:val="24"/>
                <w:szCs w:val="24"/>
              </w:rPr>
              <w:lastRenderedPageBreak/>
              <w:t>esta entidad considera que el proceso de consulta pública de la iniciativa normativa puede comprender diez (10) días calendario.</w:t>
            </w:r>
          </w:p>
          <w:p w14:paraId="50334576" w14:textId="77777777" w:rsidR="00FB4D29" w:rsidRDefault="00FB4D29">
            <w:pPr>
              <w:ind w:left="494" w:firstLine="7"/>
              <w:jc w:val="both"/>
              <w:rPr>
                <w:rFonts w:ascii="Arial Narrow" w:eastAsia="Arial Narrow" w:hAnsi="Arial Narrow" w:cs="Arial Narrow"/>
                <w:sz w:val="24"/>
                <w:szCs w:val="24"/>
              </w:rPr>
            </w:pPr>
          </w:p>
          <w:p w14:paraId="57D28026" w14:textId="62DC6624" w:rsidR="00625A51" w:rsidRDefault="00625A51">
            <w:pPr>
              <w:ind w:left="494" w:firstLine="7"/>
              <w:jc w:val="both"/>
              <w:rPr>
                <w:rFonts w:ascii="Arial Narrow" w:eastAsia="Arial Narrow" w:hAnsi="Arial Narrow" w:cs="Arial Narrow"/>
                <w:sz w:val="24"/>
                <w:szCs w:val="24"/>
              </w:rPr>
            </w:pPr>
            <w:r>
              <w:rPr>
                <w:rFonts w:ascii="Arial Narrow" w:eastAsia="Arial Narrow" w:hAnsi="Arial Narrow" w:cs="Arial Narrow"/>
                <w:sz w:val="24"/>
                <w:szCs w:val="24"/>
              </w:rPr>
              <w:t>Tal como se menciona en la parte considerativa del proyecto de resolución de declaratoria, se desarrollaron dos sesiones informativas con “</w:t>
            </w:r>
            <w:r w:rsidRPr="00625A51">
              <w:rPr>
                <w:rFonts w:ascii="Arial Narrow" w:eastAsia="Arial Narrow" w:hAnsi="Arial Narrow" w:cs="Arial Narrow"/>
                <w:sz w:val="24"/>
                <w:szCs w:val="24"/>
              </w:rPr>
              <w:t>habitantes de la comunidad, representantes de la Junta de Acción Comunal, la Alcaldía Municipal de Ibagué, CORTOLIMA y funcionarios de la entidad</w:t>
            </w:r>
            <w:r>
              <w:rPr>
                <w:rFonts w:ascii="Arial Narrow" w:eastAsia="Arial Narrow" w:hAnsi="Arial Narrow" w:cs="Arial Narrow"/>
                <w:sz w:val="24"/>
                <w:szCs w:val="24"/>
              </w:rPr>
              <w:t>”; así mismo, con “</w:t>
            </w:r>
            <w:r w:rsidRPr="00625A51">
              <w:rPr>
                <w:rFonts w:ascii="Arial Narrow" w:eastAsia="Arial Narrow" w:hAnsi="Arial Narrow" w:cs="Arial Narrow"/>
                <w:sz w:val="24"/>
                <w:szCs w:val="24"/>
              </w:rPr>
              <w:t>la Junta de Acción Comunal de la vereda La Ceja, municipio de Ibagué (Tolima), en la que participaron representantes de la comunidad, funcionarios de la entidad y de CORTOLIMA, con el propósito de presentar la propuesta de declaratoria del Santuario de Flora Tochecito y resolver las inquietudes de los asistentes</w:t>
            </w:r>
            <w:r>
              <w:rPr>
                <w:rFonts w:ascii="Arial Narrow" w:eastAsia="Arial Narrow" w:hAnsi="Arial Narrow" w:cs="Arial Narrow"/>
                <w:sz w:val="24"/>
                <w:szCs w:val="24"/>
              </w:rPr>
              <w:t>.”</w:t>
            </w:r>
          </w:p>
          <w:p w14:paraId="4AA1866D" w14:textId="77777777" w:rsidR="00FB4D29" w:rsidRDefault="00FB4D29">
            <w:pPr>
              <w:ind w:left="494" w:firstLine="7"/>
              <w:jc w:val="both"/>
              <w:rPr>
                <w:rFonts w:ascii="Arial Narrow" w:eastAsia="Arial Narrow" w:hAnsi="Arial Narrow" w:cs="Arial Narrow"/>
                <w:sz w:val="24"/>
                <w:szCs w:val="24"/>
              </w:rPr>
            </w:pPr>
          </w:p>
          <w:p w14:paraId="45E7A129" w14:textId="31AEDCFD" w:rsidR="00FB4D29" w:rsidRDefault="00FB4D29">
            <w:pPr>
              <w:ind w:left="494" w:firstLine="7"/>
              <w:jc w:val="both"/>
              <w:rPr>
                <w:rFonts w:ascii="Arial Narrow" w:eastAsia="Arial Narrow" w:hAnsi="Arial Narrow" w:cs="Arial Narrow"/>
                <w:sz w:val="24"/>
                <w:szCs w:val="24"/>
              </w:rPr>
            </w:pPr>
            <w:r>
              <w:rPr>
                <w:rFonts w:ascii="Arial Narrow" w:eastAsia="Arial Narrow" w:hAnsi="Arial Narrow" w:cs="Arial Narrow"/>
                <w:sz w:val="24"/>
                <w:szCs w:val="24"/>
              </w:rPr>
              <w:t>En estos espacios “</w:t>
            </w:r>
            <w:r w:rsidRPr="00FB4D29">
              <w:rPr>
                <w:rFonts w:ascii="Arial Narrow" w:eastAsia="Arial Narrow" w:hAnsi="Arial Narrow" w:cs="Arial Narrow"/>
                <w:sz w:val="24"/>
                <w:szCs w:val="24"/>
              </w:rPr>
              <w:t>se abordaron temas relacionados con el alcance de la categoría de manejo, las actividades permitidas, el turismo de naturaleza, la infraestructura vial (construcción del Camino Nacional), las fuentes de financiación y los mecanismos de participación comunitaria, reiterándose que la iniciativa busca la conservación de los valores naturales del área de manera articulada con las comunidades locales y las autoridades competentes</w:t>
            </w:r>
            <w:r>
              <w:rPr>
                <w:rFonts w:ascii="Arial Narrow" w:eastAsia="Arial Narrow" w:hAnsi="Arial Narrow" w:cs="Arial Narrow"/>
                <w:sz w:val="24"/>
                <w:szCs w:val="24"/>
              </w:rPr>
              <w:t>.”</w:t>
            </w:r>
          </w:p>
          <w:p w14:paraId="5F509A80" w14:textId="592805B2" w:rsidR="00625A51" w:rsidRDefault="00625A51">
            <w:pPr>
              <w:ind w:left="494" w:firstLine="7"/>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0000005B" w14:textId="77777777" w:rsidR="002012D8" w:rsidRDefault="002012D8">
            <w:pPr>
              <w:ind w:left="494" w:hanging="283"/>
              <w:jc w:val="both"/>
              <w:rPr>
                <w:rFonts w:ascii="Arial Narrow" w:eastAsia="Arial Narrow" w:hAnsi="Arial Narrow" w:cs="Arial Narrow"/>
                <w:sz w:val="22"/>
                <w:szCs w:val="22"/>
              </w:rPr>
            </w:pPr>
          </w:p>
        </w:tc>
      </w:tr>
      <w:tr w:rsidR="002012D8" w14:paraId="656BE326" w14:textId="77777777">
        <w:trPr>
          <w:trHeight w:val="925"/>
        </w:trPr>
        <w:tc>
          <w:tcPr>
            <w:tcW w:w="10755" w:type="dxa"/>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0000005E" w14:textId="77777777" w:rsidR="002012D8" w:rsidRDefault="0019396C">
            <w:pPr>
              <w:numPr>
                <w:ilvl w:val="0"/>
                <w:numId w:val="2"/>
              </w:numP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lastRenderedPageBreak/>
              <w:t xml:space="preserve">IMPACTO ECONÓMICO </w:t>
            </w:r>
            <w:r>
              <w:rPr>
                <w:rFonts w:ascii="Arial Narrow" w:eastAsia="Arial Narrow" w:hAnsi="Arial Narrow" w:cs="Arial Narrow"/>
                <w:color w:val="000000"/>
                <w:sz w:val="22"/>
                <w:szCs w:val="22"/>
              </w:rPr>
              <w:t>(Si se requiere)</w:t>
            </w:r>
          </w:p>
          <w:p w14:paraId="0000005F" w14:textId="77777777" w:rsidR="002012D8" w:rsidRDefault="0019396C">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declaratoria no genera por sí misma obligaciones económicas directas para los particulares.</w:t>
            </w:r>
          </w:p>
          <w:p w14:paraId="00000060" w14:textId="77777777" w:rsidR="002012D8" w:rsidRDefault="0019396C">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Los costos asociados a la administración y manejo del área protegida serán asumidos de manera progresiva por Parques Nacionales Naturales de Colombia conforme a la disponibilidad presupuestal y a los instrumentos de planeación institucional.</w:t>
            </w:r>
          </w:p>
          <w:p w14:paraId="00000061" w14:textId="77777777" w:rsidR="002012D8" w:rsidRDefault="0019396C">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A mediano y largo plazo la declaratoria contribuirá a la conservación del capital natural, la regulación hídrica, el mantenimiento de servicios ecosistémicos y el fortalecimiento de actividades compatibles con la conservación.</w:t>
            </w:r>
          </w:p>
          <w:p w14:paraId="00000062" w14:textId="77777777" w:rsidR="002012D8" w:rsidRDefault="002012D8">
            <w:pPr>
              <w:jc w:val="both"/>
              <w:rPr>
                <w:rFonts w:ascii="Arial Narrow" w:eastAsia="Arial Narrow" w:hAnsi="Arial Narrow" w:cs="Arial Narrow"/>
                <w:sz w:val="22"/>
                <w:szCs w:val="22"/>
              </w:rPr>
            </w:pPr>
          </w:p>
        </w:tc>
      </w:tr>
      <w:tr w:rsidR="002012D8" w14:paraId="79F7EAD5" w14:textId="77777777">
        <w:trPr>
          <w:trHeight w:val="66"/>
        </w:trPr>
        <w:tc>
          <w:tcPr>
            <w:tcW w:w="10755" w:type="dxa"/>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00000065" w14:textId="77777777" w:rsidR="002012D8" w:rsidRDefault="00000000">
            <w:pPr>
              <w:numPr>
                <w:ilvl w:val="0"/>
                <w:numId w:val="2"/>
              </w:numPr>
              <w:rPr>
                <w:rFonts w:ascii="Arial Narrow" w:eastAsia="Arial Narrow" w:hAnsi="Arial Narrow" w:cs="Arial Narrow"/>
                <w:b/>
                <w:bCs/>
                <w:color w:val="000000"/>
                <w:sz w:val="22"/>
                <w:szCs w:val="22"/>
              </w:rPr>
            </w:pPr>
            <w:sdt>
              <w:sdtPr>
                <w:tag w:val="goog_rdk_4"/>
                <w:id w:val="1699734880"/>
              </w:sdtPr>
              <w:sdtContent/>
            </w:sdt>
            <w:r w:rsidR="0019396C">
              <w:rPr>
                <w:rFonts w:ascii="Arial Narrow" w:eastAsia="Arial Narrow" w:hAnsi="Arial Narrow" w:cs="Arial Narrow"/>
                <w:b/>
                <w:bCs/>
                <w:color w:val="000000"/>
                <w:sz w:val="22"/>
                <w:szCs w:val="22"/>
              </w:rPr>
              <w:t xml:space="preserve">VIABILIDAD O DISPONIBILIDAD PRESUPUESTAL </w:t>
            </w:r>
            <w:r w:rsidR="0019396C">
              <w:rPr>
                <w:rFonts w:ascii="Arial Narrow" w:eastAsia="Arial Narrow" w:hAnsi="Arial Narrow" w:cs="Arial Narrow"/>
                <w:color w:val="000000"/>
                <w:sz w:val="22"/>
                <w:szCs w:val="22"/>
              </w:rPr>
              <w:t>(Si se requiere)</w:t>
            </w:r>
          </w:p>
          <w:p w14:paraId="00000066" w14:textId="77777777" w:rsidR="002012D8" w:rsidRDefault="002012D8">
            <w:pPr>
              <w:pBdr>
                <w:top w:val="nil"/>
                <w:left w:val="nil"/>
                <w:bottom w:val="nil"/>
                <w:right w:val="nil"/>
                <w:between w:val="nil"/>
              </w:pBdr>
              <w:spacing w:after="200" w:line="276" w:lineRule="auto"/>
              <w:ind w:left="360"/>
              <w:jc w:val="both"/>
              <w:rPr>
                <w:rFonts w:ascii="Arial Narrow" w:eastAsia="Arial Narrow" w:hAnsi="Arial Narrow" w:cs="Arial Narrow"/>
                <w:i/>
                <w:iCs/>
                <w:color w:val="808080"/>
                <w:sz w:val="18"/>
                <w:szCs w:val="18"/>
              </w:rPr>
            </w:pPr>
          </w:p>
          <w:p w14:paraId="00000067" w14:textId="77777777" w:rsidR="002012D8" w:rsidRDefault="0019396C">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La implementación de la presente iniciativa de declaratoria contempla la adquisición de los seis (6) predios localizados al interior del área propuesta para el Santuario de Flora Palmares de </w:t>
            </w:r>
            <w:proofErr w:type="spellStart"/>
            <w:r>
              <w:rPr>
                <w:rFonts w:ascii="Arial Narrow" w:eastAsia="Arial Narrow" w:hAnsi="Arial Narrow" w:cs="Arial Narrow"/>
                <w:sz w:val="24"/>
                <w:szCs w:val="24"/>
              </w:rPr>
              <w:t>Tochecito</w:t>
            </w:r>
            <w:proofErr w:type="spellEnd"/>
            <w:r>
              <w:rPr>
                <w:rFonts w:ascii="Arial Narrow" w:eastAsia="Arial Narrow" w:hAnsi="Arial Narrow" w:cs="Arial Narrow"/>
                <w:sz w:val="24"/>
                <w:szCs w:val="24"/>
              </w:rPr>
              <w:t>, como una medida orientada a garantizar la consolidación de la estrategia de conservación, la gestión efectiva del área protegida y el cumplimiento de sus objetivos de preservación a largo plazo.</w:t>
            </w:r>
          </w:p>
          <w:p w14:paraId="00000068" w14:textId="77777777" w:rsidR="002012D8" w:rsidRDefault="0019396C">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Para tal efecto, Parques Nacionales Naturales de Colombia y las entidades aliadas adelantan la gestión de recursos provenientes de diversas fuentes de financiación, entre las que se encuentran recursos del Presupuesto General de la Nación, cooperación internacional, aportes de la Gobernación del Tolima, recursos derivados del impuesto nacional al carbono, contribuciones de donantes internacionales y mecanismos de compensación e inversión ambiental a cargo de </w:t>
            </w:r>
            <w:r>
              <w:rPr>
                <w:rFonts w:ascii="Arial Narrow" w:eastAsia="Arial Narrow" w:hAnsi="Arial Narrow" w:cs="Arial Narrow"/>
                <w:sz w:val="24"/>
                <w:szCs w:val="24"/>
              </w:rPr>
              <w:lastRenderedPageBreak/>
              <w:t>empresas del sector de hidrocarburos, en el marco de las obligaciones ambientales establecidas y aprobadas por la Autoridad Nacional de Licencias Ambientales –ANLA–.</w:t>
            </w:r>
          </w:p>
          <w:p w14:paraId="00000069" w14:textId="77777777" w:rsidR="002012D8" w:rsidRDefault="0019396C">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adquisición predial se desarrollará de manera gradual y de conformidad con la disponibilidad efectiva de los recursos, así como con los resultados de los procesos de valoración, negociación y saneamiento jurídico de los inmuebles. En este sentido, se prevé la siguiente ruta de implementación: (i) una primera fase consistente en la culminación de los avalúos comerciales por parte del Instituto Geográfico Agustín Codazzi –IGAC–, entidad que deberá entregar la totalidad de los avalúos pendientes asociados al área objeto de declaratoria antes de finalizar el mes de agosto de 2026; (</w:t>
            </w:r>
            <w:proofErr w:type="spellStart"/>
            <w:r>
              <w:rPr>
                <w:rFonts w:ascii="Arial Narrow" w:eastAsia="Arial Narrow" w:hAnsi="Arial Narrow" w:cs="Arial Narrow"/>
                <w:sz w:val="24"/>
                <w:szCs w:val="24"/>
              </w:rPr>
              <w:t>ii</w:t>
            </w:r>
            <w:proofErr w:type="spellEnd"/>
            <w:r>
              <w:rPr>
                <w:rFonts w:ascii="Arial Narrow" w:eastAsia="Arial Narrow" w:hAnsi="Arial Narrow" w:cs="Arial Narrow"/>
                <w:sz w:val="24"/>
                <w:szCs w:val="24"/>
              </w:rPr>
              <w:t>) una segunda fase orientada a la concertación y negociación voluntaria con los propietarios, con fundamento en los avalúos oficialmente adoptados; (</w:t>
            </w:r>
            <w:proofErr w:type="spellStart"/>
            <w:r>
              <w:rPr>
                <w:rFonts w:ascii="Arial Narrow" w:eastAsia="Arial Narrow" w:hAnsi="Arial Narrow" w:cs="Arial Narrow"/>
                <w:sz w:val="24"/>
                <w:szCs w:val="24"/>
              </w:rPr>
              <w:t>iii</w:t>
            </w:r>
            <w:proofErr w:type="spellEnd"/>
            <w:r>
              <w:rPr>
                <w:rFonts w:ascii="Arial Narrow" w:eastAsia="Arial Narrow" w:hAnsi="Arial Narrow" w:cs="Arial Narrow"/>
                <w:sz w:val="24"/>
                <w:szCs w:val="24"/>
              </w:rPr>
              <w:t>) una tercera fase destinada a la adquisición de aquellos predios que cuenten con condiciones jurídicas que permitan adelantar de manera inmediata los procesos de transferencia de dominio y tradición; y (</w:t>
            </w:r>
            <w:proofErr w:type="spellStart"/>
            <w:r>
              <w:rPr>
                <w:rFonts w:ascii="Arial Narrow" w:eastAsia="Arial Narrow" w:hAnsi="Arial Narrow" w:cs="Arial Narrow"/>
                <w:sz w:val="24"/>
                <w:szCs w:val="24"/>
              </w:rPr>
              <w:t>iv</w:t>
            </w:r>
            <w:proofErr w:type="spellEnd"/>
            <w:r>
              <w:rPr>
                <w:rFonts w:ascii="Arial Narrow" w:eastAsia="Arial Narrow" w:hAnsi="Arial Narrow" w:cs="Arial Narrow"/>
                <w:sz w:val="24"/>
                <w:szCs w:val="24"/>
              </w:rPr>
              <w:t>) una cuarta fase correspondiente a la adquisición de los predios restantes, una vez declarada el área protegida, para aquellos casos en que se requiera culminar previamente procesos de saneamiento jurídico, perfeccionamiento de la negociación o consolidación de las fuentes de financiación.</w:t>
            </w:r>
          </w:p>
          <w:p w14:paraId="0000006A" w14:textId="77777777" w:rsidR="002012D8" w:rsidRDefault="0019396C">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En consecuencia, si bien la totalidad de los recursos requeridos para la adquisición predial aún se encuentra en proceso de gestión y consecución, existen mecanismos institucionales, financieros y de cooperación identificados y en trámite que permiten concluir la viabilidad financiera de la medida en el mediano plazo, sujeta al desarrollo de los procesos de concertación con los propietarios y a la materialización progresiva de las fuentes de financiación previstas.</w:t>
            </w:r>
          </w:p>
          <w:p w14:paraId="0000006B" w14:textId="77777777" w:rsidR="002012D8" w:rsidRDefault="0019396C">
            <w:pPr>
              <w:spacing w:line="276"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El polígono actual de referencia del proceso para la declaratoria de un área protegida en la cuenca de </w:t>
            </w:r>
            <w:proofErr w:type="spellStart"/>
            <w:r>
              <w:rPr>
                <w:rFonts w:ascii="Arial Narrow" w:eastAsia="Arial Narrow" w:hAnsi="Arial Narrow" w:cs="Arial Narrow"/>
                <w:sz w:val="24"/>
                <w:szCs w:val="24"/>
              </w:rPr>
              <w:t>Tochecito</w:t>
            </w:r>
            <w:proofErr w:type="spellEnd"/>
            <w:r>
              <w:rPr>
                <w:rFonts w:ascii="Arial Narrow" w:eastAsia="Arial Narrow" w:hAnsi="Arial Narrow" w:cs="Arial Narrow"/>
                <w:sz w:val="24"/>
                <w:szCs w:val="24"/>
              </w:rPr>
              <w:t xml:space="preserve"> incluye seis (6) predios privados (Tabla 1): </w:t>
            </w:r>
          </w:p>
          <w:p w14:paraId="0000006C" w14:textId="77777777" w:rsidR="002012D8" w:rsidRDefault="002012D8">
            <w:pPr>
              <w:spacing w:line="276" w:lineRule="auto"/>
              <w:jc w:val="both"/>
              <w:rPr>
                <w:sz w:val="22"/>
                <w:szCs w:val="22"/>
              </w:rPr>
            </w:pPr>
          </w:p>
          <w:tbl>
            <w:tblPr>
              <w:tblStyle w:val="a0"/>
              <w:tblW w:w="8910"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1983"/>
              <w:gridCol w:w="1317"/>
              <w:gridCol w:w="1335"/>
              <w:gridCol w:w="1905"/>
              <w:gridCol w:w="2370"/>
            </w:tblGrid>
            <w:tr w:rsidR="002012D8" w14:paraId="7AEE82E5" w14:textId="77777777">
              <w:trPr>
                <w:trHeight w:val="380"/>
                <w:jc w:val="center"/>
              </w:trPr>
              <w:tc>
                <w:tcPr>
                  <w:tcW w:w="1983" w:type="dxa"/>
                  <w:tcBorders>
                    <w:top w:val="single" w:sz="6" w:space="0" w:color="000000"/>
                    <w:left w:val="single" w:sz="6" w:space="0" w:color="000000"/>
                    <w:bottom w:val="single" w:sz="6" w:space="0" w:color="000000"/>
                    <w:right w:val="single" w:sz="6" w:space="0" w:color="000000"/>
                  </w:tcBorders>
                  <w:shd w:val="clear" w:color="auto" w:fill="A5C9EB"/>
                  <w:tcMar>
                    <w:top w:w="0" w:type="dxa"/>
                    <w:left w:w="80" w:type="dxa"/>
                    <w:bottom w:w="0" w:type="dxa"/>
                    <w:right w:w="80" w:type="dxa"/>
                  </w:tcMar>
                </w:tcPr>
                <w:p w14:paraId="0000006D" w14:textId="77777777" w:rsidR="002012D8" w:rsidRDefault="0019396C">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NOMBRE</w:t>
                  </w:r>
                </w:p>
              </w:tc>
              <w:tc>
                <w:tcPr>
                  <w:tcW w:w="1317" w:type="dxa"/>
                  <w:tcBorders>
                    <w:top w:val="single" w:sz="6" w:space="0" w:color="000000"/>
                    <w:left w:val="nil"/>
                    <w:bottom w:val="single" w:sz="6" w:space="0" w:color="000000"/>
                    <w:right w:val="single" w:sz="6" w:space="0" w:color="000000"/>
                  </w:tcBorders>
                  <w:shd w:val="clear" w:color="auto" w:fill="A5C9EB"/>
                  <w:tcMar>
                    <w:top w:w="0" w:type="dxa"/>
                    <w:left w:w="80" w:type="dxa"/>
                    <w:bottom w:w="0" w:type="dxa"/>
                    <w:right w:w="80" w:type="dxa"/>
                  </w:tcMar>
                </w:tcPr>
                <w:p w14:paraId="0000006E" w14:textId="77777777" w:rsidR="002012D8" w:rsidRDefault="0019396C">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MUNICIPIO</w:t>
                  </w:r>
                </w:p>
              </w:tc>
              <w:tc>
                <w:tcPr>
                  <w:tcW w:w="1335" w:type="dxa"/>
                  <w:tcBorders>
                    <w:top w:val="single" w:sz="6" w:space="0" w:color="000000"/>
                    <w:left w:val="nil"/>
                    <w:bottom w:val="single" w:sz="6" w:space="0" w:color="000000"/>
                    <w:right w:val="single" w:sz="6" w:space="0" w:color="000000"/>
                  </w:tcBorders>
                  <w:shd w:val="clear" w:color="auto" w:fill="A5C9EB"/>
                  <w:tcMar>
                    <w:top w:w="0" w:type="dxa"/>
                    <w:left w:w="80" w:type="dxa"/>
                    <w:bottom w:w="0" w:type="dxa"/>
                    <w:right w:w="80" w:type="dxa"/>
                  </w:tcMar>
                </w:tcPr>
                <w:p w14:paraId="0000006F" w14:textId="77777777" w:rsidR="002012D8" w:rsidRDefault="0019396C">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AREA</w:t>
                  </w:r>
                </w:p>
              </w:tc>
              <w:tc>
                <w:tcPr>
                  <w:tcW w:w="1905" w:type="dxa"/>
                  <w:tcBorders>
                    <w:top w:val="single" w:sz="6" w:space="0" w:color="000000"/>
                    <w:left w:val="nil"/>
                    <w:bottom w:val="single" w:sz="6" w:space="0" w:color="000000"/>
                    <w:right w:val="single" w:sz="6" w:space="0" w:color="000000"/>
                  </w:tcBorders>
                  <w:shd w:val="clear" w:color="auto" w:fill="A5C9EB"/>
                  <w:tcMar>
                    <w:top w:w="0" w:type="dxa"/>
                    <w:left w:w="80" w:type="dxa"/>
                    <w:bottom w:w="0" w:type="dxa"/>
                    <w:right w:w="80" w:type="dxa"/>
                  </w:tcMar>
                </w:tcPr>
                <w:p w14:paraId="00000070" w14:textId="77777777" w:rsidR="002012D8" w:rsidRDefault="0019396C">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FMI</w:t>
                  </w:r>
                </w:p>
              </w:tc>
              <w:tc>
                <w:tcPr>
                  <w:tcW w:w="2370" w:type="dxa"/>
                  <w:tcBorders>
                    <w:top w:val="single" w:sz="6" w:space="0" w:color="000000"/>
                    <w:left w:val="nil"/>
                    <w:bottom w:val="single" w:sz="6" w:space="0" w:color="000000"/>
                    <w:right w:val="single" w:sz="6" w:space="0" w:color="000000"/>
                  </w:tcBorders>
                  <w:shd w:val="clear" w:color="auto" w:fill="A5C9EB"/>
                  <w:tcMar>
                    <w:top w:w="0" w:type="dxa"/>
                    <w:left w:w="80" w:type="dxa"/>
                    <w:bottom w:w="0" w:type="dxa"/>
                    <w:right w:w="80" w:type="dxa"/>
                  </w:tcMar>
                </w:tcPr>
                <w:p w14:paraId="00000071" w14:textId="77777777" w:rsidR="002012D8" w:rsidRDefault="0019396C">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TITULAR</w:t>
                  </w:r>
                </w:p>
              </w:tc>
            </w:tr>
            <w:tr w:rsidR="002012D8" w14:paraId="2B208E51" w14:textId="77777777">
              <w:trPr>
                <w:trHeight w:val="479"/>
                <w:jc w:val="center"/>
              </w:trPr>
              <w:tc>
                <w:tcPr>
                  <w:tcW w:w="1983" w:type="dxa"/>
                  <w:tcBorders>
                    <w:top w:val="nil"/>
                    <w:left w:val="single" w:sz="6" w:space="0" w:color="000000"/>
                    <w:bottom w:val="single" w:sz="6" w:space="0" w:color="000000"/>
                    <w:right w:val="single" w:sz="6" w:space="0" w:color="000000"/>
                  </w:tcBorders>
                  <w:shd w:val="clear" w:color="auto" w:fill="FFFFFF"/>
                  <w:tcMar>
                    <w:top w:w="0" w:type="dxa"/>
                    <w:left w:w="80" w:type="dxa"/>
                    <w:bottom w:w="0" w:type="dxa"/>
                    <w:right w:w="80" w:type="dxa"/>
                  </w:tcMar>
                </w:tcPr>
                <w:p w14:paraId="00000072"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Agua Bonita</w:t>
                  </w:r>
                </w:p>
              </w:tc>
              <w:tc>
                <w:tcPr>
                  <w:tcW w:w="1317"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73"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Ibagué</w:t>
                  </w:r>
                </w:p>
              </w:tc>
              <w:tc>
                <w:tcPr>
                  <w:tcW w:w="133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74"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120,79</w:t>
                  </w:r>
                </w:p>
              </w:tc>
              <w:tc>
                <w:tcPr>
                  <w:tcW w:w="190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75"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350-48829</w:t>
                  </w:r>
                </w:p>
              </w:tc>
              <w:tc>
                <w:tcPr>
                  <w:tcW w:w="237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76"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Juan Carlos Mejía</w:t>
                  </w:r>
                </w:p>
              </w:tc>
            </w:tr>
            <w:tr w:rsidR="002012D8" w14:paraId="1B008E79" w14:textId="77777777">
              <w:trPr>
                <w:trHeight w:val="416"/>
                <w:jc w:val="center"/>
              </w:trPr>
              <w:tc>
                <w:tcPr>
                  <w:tcW w:w="1983" w:type="dxa"/>
                  <w:tcBorders>
                    <w:top w:val="nil"/>
                    <w:left w:val="single" w:sz="6" w:space="0" w:color="000000"/>
                    <w:bottom w:val="single" w:sz="6" w:space="0" w:color="000000"/>
                    <w:right w:val="single" w:sz="6" w:space="0" w:color="000000"/>
                  </w:tcBorders>
                  <w:shd w:val="clear" w:color="auto" w:fill="FFFFFF"/>
                  <w:tcMar>
                    <w:top w:w="0" w:type="dxa"/>
                    <w:left w:w="80" w:type="dxa"/>
                    <w:bottom w:w="0" w:type="dxa"/>
                    <w:right w:w="80" w:type="dxa"/>
                  </w:tcMar>
                </w:tcPr>
                <w:p w14:paraId="00000077"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Cruces</w:t>
                  </w:r>
                </w:p>
              </w:tc>
              <w:tc>
                <w:tcPr>
                  <w:tcW w:w="1317"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78"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Ibagué</w:t>
                  </w:r>
                </w:p>
              </w:tc>
              <w:tc>
                <w:tcPr>
                  <w:tcW w:w="133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79"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318,53</w:t>
                  </w:r>
                </w:p>
              </w:tc>
              <w:tc>
                <w:tcPr>
                  <w:tcW w:w="190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7A"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1263264-65</w:t>
                  </w:r>
                </w:p>
              </w:tc>
              <w:tc>
                <w:tcPr>
                  <w:tcW w:w="237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7B"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Juan Carlos Mejía</w:t>
                  </w:r>
                </w:p>
              </w:tc>
            </w:tr>
            <w:tr w:rsidR="002012D8" w14:paraId="7F6671A6" w14:textId="77777777">
              <w:trPr>
                <w:trHeight w:val="407"/>
                <w:jc w:val="center"/>
              </w:trPr>
              <w:tc>
                <w:tcPr>
                  <w:tcW w:w="1983" w:type="dxa"/>
                  <w:tcBorders>
                    <w:top w:val="nil"/>
                    <w:left w:val="single" w:sz="6" w:space="0" w:color="000000"/>
                    <w:bottom w:val="single" w:sz="6" w:space="0" w:color="000000"/>
                    <w:right w:val="single" w:sz="6" w:space="0" w:color="000000"/>
                  </w:tcBorders>
                  <w:shd w:val="clear" w:color="auto" w:fill="FFFFFF"/>
                  <w:tcMar>
                    <w:top w:w="0" w:type="dxa"/>
                    <w:left w:w="80" w:type="dxa"/>
                    <w:bottom w:w="0" w:type="dxa"/>
                    <w:right w:w="80" w:type="dxa"/>
                  </w:tcMar>
                </w:tcPr>
                <w:p w14:paraId="0000007C"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Gallero</w:t>
                  </w:r>
                </w:p>
              </w:tc>
              <w:tc>
                <w:tcPr>
                  <w:tcW w:w="1317"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7D"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Ibagué</w:t>
                  </w:r>
                </w:p>
              </w:tc>
              <w:tc>
                <w:tcPr>
                  <w:tcW w:w="133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7E"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268,83</w:t>
                  </w:r>
                </w:p>
              </w:tc>
              <w:tc>
                <w:tcPr>
                  <w:tcW w:w="190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7F"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350-13403</w:t>
                  </w:r>
                </w:p>
              </w:tc>
              <w:tc>
                <w:tcPr>
                  <w:tcW w:w="237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80"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Juan Carlos Mejía</w:t>
                  </w:r>
                </w:p>
              </w:tc>
            </w:tr>
            <w:tr w:rsidR="002012D8" w14:paraId="1822E844" w14:textId="77777777">
              <w:trPr>
                <w:trHeight w:val="465"/>
                <w:jc w:val="center"/>
              </w:trPr>
              <w:tc>
                <w:tcPr>
                  <w:tcW w:w="1983" w:type="dxa"/>
                  <w:tcBorders>
                    <w:top w:val="nil"/>
                    <w:left w:val="single" w:sz="6" w:space="0" w:color="000000"/>
                    <w:bottom w:val="single" w:sz="6" w:space="0" w:color="000000"/>
                    <w:right w:val="single" w:sz="6" w:space="0" w:color="000000"/>
                  </w:tcBorders>
                  <w:shd w:val="clear" w:color="auto" w:fill="FFFFFF"/>
                  <w:tcMar>
                    <w:top w:w="0" w:type="dxa"/>
                    <w:left w:w="80" w:type="dxa"/>
                    <w:bottom w:w="0" w:type="dxa"/>
                    <w:right w:w="80" w:type="dxa"/>
                  </w:tcMar>
                </w:tcPr>
                <w:p w14:paraId="00000081"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Gigante o Tierra Adentro</w:t>
                  </w:r>
                </w:p>
              </w:tc>
              <w:tc>
                <w:tcPr>
                  <w:tcW w:w="1317"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82"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Ibagué</w:t>
                  </w:r>
                </w:p>
              </w:tc>
              <w:tc>
                <w:tcPr>
                  <w:tcW w:w="133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83"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548,45</w:t>
                  </w:r>
                </w:p>
              </w:tc>
              <w:tc>
                <w:tcPr>
                  <w:tcW w:w="190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84"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350-57220</w:t>
                  </w:r>
                </w:p>
              </w:tc>
              <w:tc>
                <w:tcPr>
                  <w:tcW w:w="237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85"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Familia Botero Uribe</w:t>
                  </w:r>
                </w:p>
              </w:tc>
            </w:tr>
            <w:tr w:rsidR="002012D8" w14:paraId="0E352F08" w14:textId="77777777">
              <w:trPr>
                <w:trHeight w:val="525"/>
                <w:jc w:val="center"/>
              </w:trPr>
              <w:tc>
                <w:tcPr>
                  <w:tcW w:w="1983" w:type="dxa"/>
                  <w:tcBorders>
                    <w:top w:val="nil"/>
                    <w:left w:val="single" w:sz="6" w:space="0" w:color="000000"/>
                    <w:bottom w:val="single" w:sz="6" w:space="0" w:color="000000"/>
                    <w:right w:val="single" w:sz="6" w:space="0" w:color="000000"/>
                  </w:tcBorders>
                  <w:shd w:val="clear" w:color="auto" w:fill="FFFFFF"/>
                  <w:tcMar>
                    <w:top w:w="0" w:type="dxa"/>
                    <w:left w:w="80" w:type="dxa"/>
                    <w:bottom w:w="0" w:type="dxa"/>
                    <w:right w:w="80" w:type="dxa"/>
                  </w:tcMar>
                </w:tcPr>
                <w:p w14:paraId="00000086"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 xml:space="preserve">La Carbonera / </w:t>
                  </w:r>
                  <w:proofErr w:type="spellStart"/>
                  <w:r>
                    <w:rPr>
                      <w:rFonts w:ascii="Arial Narrow" w:eastAsia="Arial Narrow" w:hAnsi="Arial Narrow" w:cs="Arial Narrow"/>
                      <w:sz w:val="22"/>
                      <w:szCs w:val="22"/>
                      <w:highlight w:val="white"/>
                    </w:rPr>
                    <w:t>Chiguaza</w:t>
                  </w:r>
                  <w:proofErr w:type="spellEnd"/>
                </w:p>
              </w:tc>
              <w:tc>
                <w:tcPr>
                  <w:tcW w:w="1317"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87"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Cajamarca</w:t>
                  </w:r>
                </w:p>
              </w:tc>
              <w:tc>
                <w:tcPr>
                  <w:tcW w:w="133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88"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172,57</w:t>
                  </w:r>
                </w:p>
              </w:tc>
              <w:tc>
                <w:tcPr>
                  <w:tcW w:w="190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89"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354-1071</w:t>
                  </w:r>
                </w:p>
              </w:tc>
              <w:tc>
                <w:tcPr>
                  <w:tcW w:w="237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8A"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Familia Botero Uribe</w:t>
                  </w:r>
                </w:p>
              </w:tc>
            </w:tr>
            <w:tr w:rsidR="002012D8" w14:paraId="2959ED78" w14:textId="77777777">
              <w:trPr>
                <w:trHeight w:val="202"/>
                <w:jc w:val="center"/>
              </w:trPr>
              <w:tc>
                <w:tcPr>
                  <w:tcW w:w="1983" w:type="dxa"/>
                  <w:tcBorders>
                    <w:top w:val="nil"/>
                    <w:left w:val="single" w:sz="6" w:space="0" w:color="000000"/>
                    <w:bottom w:val="single" w:sz="6" w:space="0" w:color="000000"/>
                    <w:right w:val="single" w:sz="6" w:space="0" w:color="000000"/>
                  </w:tcBorders>
                  <w:shd w:val="clear" w:color="auto" w:fill="FFFFFF"/>
                  <w:tcMar>
                    <w:top w:w="0" w:type="dxa"/>
                    <w:left w:w="80" w:type="dxa"/>
                    <w:bottom w:w="0" w:type="dxa"/>
                    <w:right w:w="80" w:type="dxa"/>
                  </w:tcMar>
                </w:tcPr>
                <w:p w14:paraId="0000008B"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Globo La Carbonera</w:t>
                  </w:r>
                </w:p>
              </w:tc>
              <w:tc>
                <w:tcPr>
                  <w:tcW w:w="1317"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8C"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Cajamarca</w:t>
                  </w:r>
                </w:p>
              </w:tc>
              <w:tc>
                <w:tcPr>
                  <w:tcW w:w="133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8D"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583-01</w:t>
                  </w:r>
                </w:p>
              </w:tc>
              <w:tc>
                <w:tcPr>
                  <w:tcW w:w="190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8E"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354-1071</w:t>
                  </w:r>
                </w:p>
              </w:tc>
              <w:tc>
                <w:tcPr>
                  <w:tcW w:w="237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tcPr>
                <w:p w14:paraId="0000008F" w14:textId="77777777" w:rsidR="002012D8" w:rsidRDefault="0019396C">
                  <w:pPr>
                    <w:jc w:val="center"/>
                    <w:rPr>
                      <w:rFonts w:ascii="Arial Narrow" w:eastAsia="Arial Narrow" w:hAnsi="Arial Narrow" w:cs="Arial Narrow"/>
                      <w:sz w:val="22"/>
                      <w:szCs w:val="22"/>
                      <w:highlight w:val="white"/>
                    </w:rPr>
                  </w:pPr>
                  <w:r>
                    <w:rPr>
                      <w:rFonts w:ascii="Arial Narrow" w:eastAsia="Arial Narrow" w:hAnsi="Arial Narrow" w:cs="Arial Narrow"/>
                      <w:sz w:val="22"/>
                      <w:szCs w:val="22"/>
                      <w:highlight w:val="white"/>
                    </w:rPr>
                    <w:t>Familia Botero Uribe</w:t>
                  </w:r>
                </w:p>
              </w:tc>
            </w:tr>
          </w:tbl>
          <w:p w14:paraId="00000090" w14:textId="77777777" w:rsidR="002012D8" w:rsidRDefault="0019396C">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formulación e implementación del Plan de Manejo podrá apoyarse en mecanismos de cooperación nacional e internacional, alianzas institucionales y otras fuentes complementarias de financiación.</w:t>
            </w:r>
          </w:p>
          <w:p w14:paraId="00000091" w14:textId="77777777" w:rsidR="002012D8" w:rsidRDefault="0019396C">
            <w:pPr>
              <w:pBdr>
                <w:top w:val="nil"/>
                <w:left w:val="nil"/>
                <w:bottom w:val="nil"/>
                <w:right w:val="nil"/>
                <w:between w:val="nil"/>
              </w:pBdr>
              <w:spacing w:after="200" w:line="276" w:lineRule="auto"/>
              <w:ind w:left="360"/>
              <w:jc w:val="both"/>
              <w:rPr>
                <w:rFonts w:ascii="Arial Narrow" w:eastAsia="Arial Narrow" w:hAnsi="Arial Narrow" w:cs="Arial Narrow"/>
                <w:i/>
                <w:iCs/>
                <w:color w:val="808080"/>
                <w:sz w:val="24"/>
                <w:szCs w:val="24"/>
              </w:rPr>
            </w:pPr>
            <w:r>
              <w:rPr>
                <w:rFonts w:ascii="Arial Narrow" w:eastAsia="Arial Narrow" w:hAnsi="Arial Narrow" w:cs="Arial Narrow"/>
                <w:i/>
                <w:iCs/>
                <w:color w:val="808080"/>
                <w:sz w:val="24"/>
                <w:szCs w:val="24"/>
              </w:rPr>
              <w:t xml:space="preserve"> </w:t>
            </w:r>
          </w:p>
        </w:tc>
      </w:tr>
      <w:tr w:rsidR="002012D8" w14:paraId="36F8F034" w14:textId="77777777">
        <w:trPr>
          <w:trHeight w:val="687"/>
        </w:trPr>
        <w:tc>
          <w:tcPr>
            <w:tcW w:w="10755" w:type="dxa"/>
            <w:gridSpan w:val="3"/>
            <w:tcBorders>
              <w:top w:val="single" w:sz="4" w:space="0" w:color="000000"/>
              <w:bottom w:val="single" w:sz="4" w:space="0" w:color="000000"/>
            </w:tcBorders>
            <w:shd w:val="clear" w:color="auto" w:fill="FFFFFF"/>
            <w:vAlign w:val="center"/>
          </w:tcPr>
          <w:p w14:paraId="00000094" w14:textId="77777777" w:rsidR="002012D8" w:rsidRDefault="0019396C">
            <w:pPr>
              <w:numPr>
                <w:ilvl w:val="0"/>
                <w:numId w:val="2"/>
              </w:numPr>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lastRenderedPageBreak/>
              <w:t xml:space="preserve">IMPACTO MEDIOAMBIENTAL O SOBRE EL PATRIMONIO CULTURAL DE LA NACIÓN </w:t>
            </w:r>
            <w:r>
              <w:rPr>
                <w:rFonts w:ascii="Arial Narrow" w:eastAsia="Arial Narrow" w:hAnsi="Arial Narrow" w:cs="Arial Narrow"/>
                <w:color w:val="000000"/>
                <w:sz w:val="22"/>
                <w:szCs w:val="22"/>
              </w:rPr>
              <w:t>(Si se requiere)</w:t>
            </w:r>
          </w:p>
          <w:p w14:paraId="00000095" w14:textId="77777777" w:rsidR="002012D8" w:rsidRDefault="002012D8">
            <w:pPr>
              <w:jc w:val="both"/>
              <w:rPr>
                <w:rFonts w:ascii="Arial Narrow" w:eastAsia="Arial Narrow" w:hAnsi="Arial Narrow" w:cs="Arial Narrow"/>
                <w:i/>
                <w:iCs/>
                <w:color w:val="808080"/>
                <w:sz w:val="18"/>
                <w:szCs w:val="18"/>
              </w:rPr>
            </w:pPr>
          </w:p>
          <w:p w14:paraId="00000096" w14:textId="77777777" w:rsidR="002012D8" w:rsidRDefault="0019396C">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resolución genera un impacto ambiental positivo al fortalecer la conservación de ecosistemas estratégicos de bosque andino y altoandino, asegurar la protección de la mayor población conocida de palma de cera del Quindío y contribuir a la conservación de especies de flora y fauna asociadas.</w:t>
            </w:r>
          </w:p>
          <w:p w14:paraId="00000097" w14:textId="77777777" w:rsidR="002012D8" w:rsidRDefault="0019396C">
            <w:pPr>
              <w:spacing w:before="280"/>
              <w:jc w:val="both"/>
              <w:rPr>
                <w:rFonts w:ascii="Arial Narrow" w:eastAsia="Arial Narrow" w:hAnsi="Arial Narrow" w:cs="Arial Narrow"/>
                <w:sz w:val="24"/>
                <w:szCs w:val="24"/>
              </w:rPr>
            </w:pPr>
            <w:r>
              <w:rPr>
                <w:rFonts w:ascii="Arial Narrow" w:eastAsia="Arial Narrow" w:hAnsi="Arial Narrow" w:cs="Arial Narrow"/>
                <w:sz w:val="24"/>
                <w:szCs w:val="24"/>
              </w:rPr>
              <w:t>Asimismo, tiene efectos positivos sobre el patrimonio cultural de la Nación al contribuir a la protección integral del paisaje cultural asociado al histórico Camino Nacional o Camino del Quindío.</w:t>
            </w:r>
          </w:p>
        </w:tc>
      </w:tr>
      <w:tr w:rsidR="002012D8" w14:paraId="0723DA6E" w14:textId="77777777">
        <w:trPr>
          <w:trHeight w:val="317"/>
        </w:trPr>
        <w:tc>
          <w:tcPr>
            <w:tcW w:w="10755" w:type="dxa"/>
            <w:gridSpan w:val="3"/>
            <w:tcBorders>
              <w:top w:val="single" w:sz="4" w:space="0" w:color="000000"/>
              <w:bottom w:val="single" w:sz="4" w:space="0" w:color="000000"/>
            </w:tcBorders>
            <w:shd w:val="clear" w:color="auto" w:fill="FFFFFF"/>
            <w:vAlign w:val="center"/>
          </w:tcPr>
          <w:p w14:paraId="0000009A" w14:textId="77777777" w:rsidR="002012D8" w:rsidRDefault="0019396C">
            <w:pPr>
              <w:numPr>
                <w:ilvl w:val="0"/>
                <w:numId w:val="2"/>
              </w:numPr>
              <w:jc w:val="both"/>
              <w:rPr>
                <w:rFonts w:ascii="Arial Narrow" w:eastAsia="Arial Narrow" w:hAnsi="Arial Narrow" w:cs="Arial Narrow"/>
                <w:sz w:val="22"/>
                <w:szCs w:val="22"/>
              </w:rPr>
            </w:pPr>
            <w:r>
              <w:rPr>
                <w:rFonts w:ascii="Arial Narrow" w:eastAsia="Arial Narrow" w:hAnsi="Arial Narrow" w:cs="Arial Narrow"/>
                <w:b/>
                <w:bCs/>
                <w:sz w:val="22"/>
                <w:szCs w:val="22"/>
              </w:rPr>
              <w:t>ESTUDIOS TÉCNICOS QUE SUSTENTEN EL PROYECTO NORMATIVO</w:t>
            </w:r>
            <w:r>
              <w:rPr>
                <w:rFonts w:ascii="Arial Narrow" w:eastAsia="Arial Narrow" w:hAnsi="Arial Narrow" w:cs="Arial Narrow"/>
                <w:sz w:val="22"/>
                <w:szCs w:val="22"/>
              </w:rPr>
              <w:t xml:space="preserve"> (incluye el análisis de la</w:t>
            </w:r>
          </w:p>
          <w:p w14:paraId="0000009B" w14:textId="77777777" w:rsidR="002012D8" w:rsidRDefault="002012D8">
            <w:pPr>
              <w:jc w:val="both"/>
              <w:rPr>
                <w:rFonts w:ascii="Arial Narrow" w:eastAsia="Arial Narrow" w:hAnsi="Arial Narrow" w:cs="Arial Narrow"/>
                <w:sz w:val="22"/>
                <w:szCs w:val="22"/>
              </w:rPr>
            </w:pPr>
          </w:p>
          <w:p w14:paraId="0000009C" w14:textId="77777777" w:rsidR="002012D8" w:rsidRDefault="0019396C">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El proyecto se sustenta en los estudios técnicos, sociales y ambientales adelantados por Parques Nacionales Naturales de Colombia, el Instituto Humboldt, CORTOLIMA y demás entidades participantes en el proceso de declaratoria.</w:t>
            </w:r>
          </w:p>
          <w:p w14:paraId="0000009D" w14:textId="77777777" w:rsidR="002012D8" w:rsidRDefault="0019396C">
            <w:pPr>
              <w:spacing w:before="280" w:after="280"/>
              <w:rPr>
                <w:rFonts w:ascii="Arial Narrow" w:eastAsia="Arial Narrow" w:hAnsi="Arial Narrow" w:cs="Arial Narrow"/>
                <w:sz w:val="24"/>
                <w:szCs w:val="24"/>
              </w:rPr>
            </w:pPr>
            <w:r>
              <w:rPr>
                <w:rFonts w:ascii="Arial Narrow" w:eastAsia="Arial Narrow" w:hAnsi="Arial Narrow" w:cs="Arial Narrow"/>
                <w:sz w:val="24"/>
                <w:szCs w:val="24"/>
              </w:rPr>
              <w:t>Los principales elementos técnicos considerados incluyen:</w:t>
            </w:r>
          </w:p>
          <w:p w14:paraId="0000009E" w14:textId="77777777" w:rsidR="002012D8" w:rsidRDefault="0019396C">
            <w:pPr>
              <w:spacing w:before="280" w:after="280"/>
              <w:rPr>
                <w:rFonts w:ascii="Arial Narrow" w:eastAsia="Arial Narrow" w:hAnsi="Arial Narrow" w:cs="Arial Narrow"/>
                <w:sz w:val="22"/>
                <w:szCs w:val="22"/>
              </w:rPr>
            </w:pPr>
            <w:r>
              <w:rPr>
                <w:rFonts w:ascii="Arial Narrow" w:eastAsia="Arial Narrow" w:hAnsi="Arial Narrow" w:cs="Arial Narrow"/>
                <w:sz w:val="24"/>
                <w:szCs w:val="24"/>
              </w:rPr>
              <w:t>• Caracterización biofísica.</w:t>
            </w:r>
            <w:r>
              <w:rPr>
                <w:rFonts w:ascii="Arial Narrow" w:eastAsia="Arial Narrow" w:hAnsi="Arial Narrow" w:cs="Arial Narrow"/>
                <w:sz w:val="24"/>
                <w:szCs w:val="24"/>
              </w:rPr>
              <w:br/>
              <w:t>• Caracterización socioeconómica y cultural.</w:t>
            </w:r>
            <w:r>
              <w:rPr>
                <w:rFonts w:ascii="Arial Narrow" w:eastAsia="Arial Narrow" w:hAnsi="Arial Narrow" w:cs="Arial Narrow"/>
                <w:sz w:val="24"/>
                <w:szCs w:val="24"/>
              </w:rPr>
              <w:br/>
              <w:t>• Evaluación de ecosistemas.</w:t>
            </w:r>
            <w:r>
              <w:rPr>
                <w:rFonts w:ascii="Arial Narrow" w:eastAsia="Arial Narrow" w:hAnsi="Arial Narrow" w:cs="Arial Narrow"/>
                <w:sz w:val="24"/>
                <w:szCs w:val="24"/>
              </w:rPr>
              <w:br/>
              <w:t>• Análisis de biodiversidad.</w:t>
            </w:r>
            <w:r>
              <w:rPr>
                <w:rFonts w:ascii="Arial Narrow" w:eastAsia="Arial Narrow" w:hAnsi="Arial Narrow" w:cs="Arial Narrow"/>
                <w:sz w:val="24"/>
                <w:szCs w:val="24"/>
              </w:rPr>
              <w:br/>
              <w:t>• Evaluación de servicios ecosistémicos.</w:t>
            </w:r>
            <w:r>
              <w:rPr>
                <w:rFonts w:ascii="Arial Narrow" w:eastAsia="Arial Narrow" w:hAnsi="Arial Narrow" w:cs="Arial Narrow"/>
                <w:sz w:val="24"/>
                <w:szCs w:val="24"/>
              </w:rPr>
              <w:br/>
              <w:t>• Diagnóstico predial.</w:t>
            </w:r>
            <w:r>
              <w:rPr>
                <w:rFonts w:ascii="Arial Narrow" w:eastAsia="Arial Narrow" w:hAnsi="Arial Narrow" w:cs="Arial Narrow"/>
                <w:sz w:val="24"/>
                <w:szCs w:val="24"/>
              </w:rPr>
              <w:br/>
              <w:t>• Identificación de presiones y amenazas.</w:t>
            </w:r>
            <w:r>
              <w:rPr>
                <w:rFonts w:ascii="Arial Narrow" w:eastAsia="Arial Narrow" w:hAnsi="Arial Narrow" w:cs="Arial Narrow"/>
                <w:sz w:val="24"/>
                <w:szCs w:val="24"/>
              </w:rPr>
              <w:br/>
              <w:t>• Definición de objetivos de conservación.</w:t>
            </w:r>
            <w:r>
              <w:rPr>
                <w:rFonts w:ascii="Arial Narrow" w:eastAsia="Arial Narrow" w:hAnsi="Arial Narrow" w:cs="Arial Narrow"/>
                <w:sz w:val="24"/>
                <w:szCs w:val="24"/>
              </w:rPr>
              <w:br/>
              <w:t>• Análisis de conectividad ecológica regional.</w:t>
            </w:r>
            <w:r>
              <w:rPr>
                <w:rFonts w:ascii="Arial Narrow" w:eastAsia="Arial Narrow" w:hAnsi="Arial Narrow" w:cs="Arial Narrow"/>
                <w:sz w:val="24"/>
                <w:szCs w:val="24"/>
              </w:rPr>
              <w:br/>
              <w:t xml:space="preserve">• Estudios sobre distribución y estado de conservación de </w:t>
            </w:r>
            <w:proofErr w:type="spellStart"/>
            <w:r>
              <w:rPr>
                <w:rFonts w:ascii="Arial Narrow" w:eastAsia="Arial Narrow" w:hAnsi="Arial Narrow" w:cs="Arial Narrow"/>
                <w:sz w:val="24"/>
                <w:szCs w:val="24"/>
              </w:rPr>
              <w:t>Ceroxylon</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quindiuense</w:t>
            </w:r>
            <w:proofErr w:type="spellEnd"/>
            <w:r>
              <w:rPr>
                <w:rFonts w:ascii="Arial Narrow" w:eastAsia="Arial Narrow" w:hAnsi="Arial Narrow" w:cs="Arial Narrow"/>
                <w:sz w:val="24"/>
                <w:szCs w:val="24"/>
              </w:rPr>
              <w:t>.</w:t>
            </w:r>
            <w:r>
              <w:rPr>
                <w:rFonts w:ascii="Arial Narrow" w:eastAsia="Arial Narrow" w:hAnsi="Arial Narrow" w:cs="Arial Narrow"/>
                <w:sz w:val="24"/>
                <w:szCs w:val="24"/>
              </w:rPr>
              <w:br/>
              <w:t>• Documento Síntesis de Declaratoria del Santuario de Flora Tochecito.</w:t>
            </w:r>
            <w:r>
              <w:rPr>
                <w:rFonts w:ascii="Arial Narrow" w:eastAsia="Arial Narrow" w:hAnsi="Arial Narrow" w:cs="Arial Narrow"/>
                <w:sz w:val="24"/>
                <w:szCs w:val="24"/>
              </w:rPr>
              <w:br/>
              <w:t>• Información cartográfica oficial.</w:t>
            </w:r>
            <w:r>
              <w:rPr>
                <w:rFonts w:ascii="Arial Narrow" w:eastAsia="Arial Narrow" w:hAnsi="Arial Narrow" w:cs="Arial Narrow"/>
                <w:sz w:val="24"/>
                <w:szCs w:val="24"/>
              </w:rPr>
              <w:br/>
              <w:t>• Bibliografía científica especializada sobre la especie y el área de estudio.</w:t>
            </w:r>
          </w:p>
        </w:tc>
      </w:tr>
      <w:tr w:rsidR="002012D8" w14:paraId="057F51C8" w14:textId="77777777">
        <w:trPr>
          <w:trHeight w:val="416"/>
        </w:trPr>
        <w:tc>
          <w:tcPr>
            <w:tcW w:w="10755" w:type="dxa"/>
            <w:gridSpan w:val="3"/>
            <w:tcBorders>
              <w:top w:val="single" w:sz="4" w:space="0" w:color="000000"/>
              <w:bottom w:val="single" w:sz="4" w:space="0" w:color="000000"/>
            </w:tcBorders>
            <w:shd w:val="clear" w:color="auto" w:fill="154A8A"/>
            <w:vAlign w:val="center"/>
          </w:tcPr>
          <w:p w14:paraId="000000A1" w14:textId="77777777" w:rsidR="002012D8" w:rsidRDefault="0019396C">
            <w:pPr>
              <w:jc w:val="center"/>
              <w:rPr>
                <w:rFonts w:ascii="Arial Narrow" w:eastAsia="Arial Narrow" w:hAnsi="Arial Narrow" w:cs="Arial Narrow"/>
                <w:color w:val="FFFFFF"/>
                <w:sz w:val="22"/>
                <w:szCs w:val="22"/>
              </w:rPr>
            </w:pPr>
            <w:r>
              <w:rPr>
                <w:rFonts w:ascii="Arial Narrow" w:eastAsia="Arial Narrow" w:hAnsi="Arial Narrow" w:cs="Arial Narrow"/>
                <w:b/>
                <w:bCs/>
                <w:color w:val="FFFFFF"/>
                <w:sz w:val="22"/>
                <w:szCs w:val="22"/>
              </w:rPr>
              <w:t>ANEXOS:</w:t>
            </w:r>
            <w:r>
              <w:rPr>
                <w:rFonts w:ascii="Arial Narrow" w:eastAsia="Arial Narrow" w:hAnsi="Arial Narrow" w:cs="Arial Narrow"/>
                <w:color w:val="FFFFFF"/>
                <w:sz w:val="22"/>
                <w:szCs w:val="22"/>
              </w:rPr>
              <w:t xml:space="preserve"> </w:t>
            </w:r>
          </w:p>
        </w:tc>
      </w:tr>
      <w:tr w:rsidR="002012D8" w14:paraId="00711265" w14:textId="77777777">
        <w:trPr>
          <w:trHeight w:val="66"/>
        </w:trPr>
        <w:tc>
          <w:tcPr>
            <w:tcW w:w="7635" w:type="dxa"/>
            <w:gridSpan w:val="2"/>
            <w:tcBorders>
              <w:top w:val="single" w:sz="4" w:space="0" w:color="000000"/>
              <w:bottom w:val="single" w:sz="4" w:space="0" w:color="000000"/>
              <w:right w:val="single" w:sz="4" w:space="0" w:color="000000"/>
            </w:tcBorders>
            <w:shd w:val="clear" w:color="auto" w:fill="FFFFFF"/>
            <w:vAlign w:val="center"/>
          </w:tcPr>
          <w:p w14:paraId="000000A4" w14:textId="77777777" w:rsidR="002012D8" w:rsidRDefault="0019396C">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Certificación de cumplimiento de requisitos de consulta, publicidad y de incorporación en la agenda regulatoria </w:t>
            </w:r>
          </w:p>
          <w:p w14:paraId="000000A5" w14:textId="77777777" w:rsidR="002012D8" w:rsidRDefault="0019396C">
            <w:pPr>
              <w:jc w:val="both"/>
              <w:rPr>
                <w:rFonts w:ascii="Arial Narrow" w:eastAsia="Arial Narrow" w:hAnsi="Arial Narrow" w:cs="Arial Narrow"/>
                <w:i/>
                <w:iCs/>
                <w:color w:val="808080"/>
                <w:sz w:val="22"/>
                <w:szCs w:val="22"/>
              </w:rPr>
            </w:pPr>
            <w:r>
              <w:rPr>
                <w:rFonts w:ascii="Arial Narrow" w:eastAsia="Arial Narrow" w:hAnsi="Arial Narrow" w:cs="Arial Narrow"/>
                <w:i/>
                <w:iCs/>
                <w:color w:val="808080"/>
              </w:rPr>
              <w:t>(Firmada por el servidor público competente –entidad originadora)</w:t>
            </w:r>
          </w:p>
        </w:tc>
        <w:tc>
          <w:tcPr>
            <w:tcW w:w="3120" w:type="dxa"/>
            <w:tcBorders>
              <w:top w:val="single" w:sz="4" w:space="0" w:color="000000"/>
              <w:left w:val="single" w:sz="4" w:space="0" w:color="000000"/>
              <w:bottom w:val="single" w:sz="4" w:space="0" w:color="000000"/>
            </w:tcBorders>
            <w:shd w:val="clear" w:color="auto" w:fill="FFFFFF"/>
            <w:vAlign w:val="center"/>
          </w:tcPr>
          <w:p w14:paraId="000000A7" w14:textId="77777777" w:rsidR="002012D8" w:rsidRDefault="0019396C">
            <w:pPr>
              <w:jc w:val="center"/>
              <w:rPr>
                <w:rFonts w:ascii="Arial Narrow" w:eastAsia="Arial Narrow" w:hAnsi="Arial Narrow" w:cs="Arial Narrow"/>
                <w:sz w:val="22"/>
                <w:szCs w:val="22"/>
              </w:rPr>
            </w:pPr>
            <w:r>
              <w:rPr>
                <w:rFonts w:ascii="Arial Narrow" w:eastAsia="Arial Narrow" w:hAnsi="Arial Narrow" w:cs="Arial Narrow"/>
                <w:sz w:val="22"/>
                <w:szCs w:val="22"/>
              </w:rPr>
              <w:t>X</w:t>
            </w:r>
          </w:p>
        </w:tc>
      </w:tr>
      <w:tr w:rsidR="002012D8" w14:paraId="0CDB4AAB" w14:textId="77777777">
        <w:trPr>
          <w:trHeight w:val="66"/>
        </w:trPr>
        <w:tc>
          <w:tcPr>
            <w:tcW w:w="7635" w:type="dxa"/>
            <w:gridSpan w:val="2"/>
            <w:tcBorders>
              <w:top w:val="single" w:sz="4" w:space="0" w:color="000000"/>
              <w:bottom w:val="single" w:sz="4" w:space="0" w:color="000000"/>
              <w:right w:val="single" w:sz="4" w:space="0" w:color="000000"/>
            </w:tcBorders>
            <w:shd w:val="clear" w:color="auto" w:fill="FFFFFF"/>
            <w:vAlign w:val="center"/>
          </w:tcPr>
          <w:p w14:paraId="000000A8" w14:textId="77777777" w:rsidR="002012D8" w:rsidRDefault="0019396C">
            <w:pPr>
              <w:jc w:val="both"/>
              <w:rPr>
                <w:rFonts w:ascii="Arial Narrow" w:eastAsia="Arial Narrow" w:hAnsi="Arial Narrow" w:cs="Arial Narrow"/>
                <w:sz w:val="22"/>
                <w:szCs w:val="22"/>
              </w:rPr>
            </w:pPr>
            <w:r>
              <w:rPr>
                <w:rFonts w:ascii="Arial Narrow" w:eastAsia="Arial Narrow" w:hAnsi="Arial Narrow" w:cs="Arial Narrow"/>
                <w:sz w:val="22"/>
                <w:szCs w:val="22"/>
              </w:rPr>
              <w:t>Concepto(s) de Ministerio de Comercio, Industria y Turismo</w:t>
            </w:r>
          </w:p>
          <w:p w14:paraId="000000A9" w14:textId="77777777" w:rsidR="002012D8" w:rsidRDefault="0019396C">
            <w:pPr>
              <w:jc w:val="both"/>
              <w:rPr>
                <w:rFonts w:ascii="Arial Narrow" w:eastAsia="Arial Narrow" w:hAnsi="Arial Narrow" w:cs="Arial Narrow"/>
                <w:i/>
                <w:iCs/>
                <w:color w:val="808080"/>
                <w:sz w:val="22"/>
                <w:szCs w:val="22"/>
              </w:rPr>
            </w:pPr>
            <w:r>
              <w:rPr>
                <w:rFonts w:ascii="Arial Narrow" w:eastAsia="Arial Narrow" w:hAnsi="Arial Narrow" w:cs="Arial Narrow"/>
                <w:i/>
                <w:iCs/>
                <w:color w:val="808080"/>
              </w:rPr>
              <w:t>(Cuando se trate de un proyecto de reglamento técnico o de procedimientos de evaluación de conformidad)</w:t>
            </w:r>
          </w:p>
        </w:tc>
        <w:tc>
          <w:tcPr>
            <w:tcW w:w="3120" w:type="dxa"/>
            <w:tcBorders>
              <w:top w:val="single" w:sz="4" w:space="0" w:color="000000"/>
              <w:left w:val="single" w:sz="4" w:space="0" w:color="000000"/>
              <w:bottom w:val="single" w:sz="4" w:space="0" w:color="000000"/>
            </w:tcBorders>
            <w:shd w:val="clear" w:color="auto" w:fill="FFFFFF"/>
            <w:vAlign w:val="center"/>
          </w:tcPr>
          <w:p w14:paraId="000000AB" w14:textId="77777777" w:rsidR="002012D8" w:rsidRDefault="0019396C">
            <w:pPr>
              <w:jc w:val="center"/>
              <w:rPr>
                <w:rFonts w:ascii="Arial Narrow" w:eastAsia="Arial Narrow" w:hAnsi="Arial Narrow" w:cs="Arial Narrow"/>
                <w:sz w:val="22"/>
                <w:szCs w:val="22"/>
              </w:rPr>
            </w:pPr>
            <w:r>
              <w:rPr>
                <w:rFonts w:ascii="Arial Narrow" w:eastAsia="Arial Narrow" w:hAnsi="Arial Narrow" w:cs="Arial Narrow"/>
                <w:i/>
                <w:iCs/>
                <w:sz w:val="22"/>
                <w:szCs w:val="22"/>
              </w:rPr>
              <w:t>No aplica</w:t>
            </w:r>
          </w:p>
        </w:tc>
      </w:tr>
      <w:tr w:rsidR="002012D8" w14:paraId="53CC2869" w14:textId="77777777">
        <w:trPr>
          <w:trHeight w:val="66"/>
        </w:trPr>
        <w:tc>
          <w:tcPr>
            <w:tcW w:w="7635" w:type="dxa"/>
            <w:gridSpan w:val="2"/>
            <w:tcBorders>
              <w:top w:val="single" w:sz="4" w:space="0" w:color="000000"/>
              <w:bottom w:val="single" w:sz="4" w:space="0" w:color="000000"/>
              <w:right w:val="single" w:sz="4" w:space="0" w:color="000000"/>
            </w:tcBorders>
            <w:shd w:val="clear" w:color="auto" w:fill="FFFFFF"/>
            <w:vAlign w:val="center"/>
          </w:tcPr>
          <w:p w14:paraId="000000AC" w14:textId="77777777" w:rsidR="002012D8" w:rsidRDefault="0019396C">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Informe de observaciones y respuestas </w:t>
            </w:r>
          </w:p>
          <w:p w14:paraId="000000AD" w14:textId="77777777" w:rsidR="002012D8" w:rsidRDefault="0019396C">
            <w:pPr>
              <w:jc w:val="both"/>
              <w:rPr>
                <w:rFonts w:ascii="Arial Narrow" w:eastAsia="Arial Narrow" w:hAnsi="Arial Narrow" w:cs="Arial Narrow"/>
                <w:i/>
                <w:iCs/>
                <w:color w:val="808080"/>
                <w:sz w:val="22"/>
                <w:szCs w:val="22"/>
              </w:rPr>
            </w:pPr>
            <w:r>
              <w:rPr>
                <w:rFonts w:ascii="Arial Narrow" w:eastAsia="Arial Narrow" w:hAnsi="Arial Narrow" w:cs="Arial Narrow"/>
                <w:i/>
                <w:iCs/>
                <w:color w:val="808080"/>
              </w:rPr>
              <w:t>(Análisis del informe con la evaluación de las observaciones de los ciudadanos y grupos de interés sobre el proyecto normativo)</w:t>
            </w:r>
          </w:p>
        </w:tc>
        <w:tc>
          <w:tcPr>
            <w:tcW w:w="3120" w:type="dxa"/>
            <w:tcBorders>
              <w:top w:val="single" w:sz="4" w:space="0" w:color="000000"/>
              <w:left w:val="single" w:sz="4" w:space="0" w:color="000000"/>
              <w:bottom w:val="single" w:sz="4" w:space="0" w:color="000000"/>
            </w:tcBorders>
            <w:shd w:val="clear" w:color="auto" w:fill="FFFFFF"/>
            <w:vAlign w:val="center"/>
          </w:tcPr>
          <w:p w14:paraId="000000AF" w14:textId="77777777" w:rsidR="002012D8" w:rsidRDefault="0019396C">
            <w:pPr>
              <w:jc w:val="center"/>
              <w:rPr>
                <w:rFonts w:ascii="Arial Narrow" w:eastAsia="Arial Narrow" w:hAnsi="Arial Narrow" w:cs="Arial Narrow"/>
                <w:sz w:val="22"/>
                <w:szCs w:val="22"/>
              </w:rPr>
            </w:pPr>
            <w:r>
              <w:rPr>
                <w:rFonts w:ascii="Arial Narrow" w:eastAsia="Arial Narrow" w:hAnsi="Arial Narrow" w:cs="Arial Narrow"/>
                <w:sz w:val="22"/>
                <w:szCs w:val="22"/>
              </w:rPr>
              <w:t>X</w:t>
            </w:r>
          </w:p>
        </w:tc>
      </w:tr>
      <w:tr w:rsidR="002012D8" w14:paraId="5A372284" w14:textId="77777777">
        <w:trPr>
          <w:trHeight w:val="66"/>
        </w:trPr>
        <w:tc>
          <w:tcPr>
            <w:tcW w:w="7635" w:type="dxa"/>
            <w:gridSpan w:val="2"/>
            <w:tcBorders>
              <w:top w:val="single" w:sz="4" w:space="0" w:color="000000"/>
              <w:bottom w:val="single" w:sz="4" w:space="0" w:color="000000"/>
              <w:right w:val="single" w:sz="4" w:space="0" w:color="000000"/>
            </w:tcBorders>
            <w:shd w:val="clear" w:color="auto" w:fill="FFFFFF"/>
            <w:vAlign w:val="center"/>
          </w:tcPr>
          <w:p w14:paraId="000000B0" w14:textId="77777777" w:rsidR="002012D8" w:rsidRDefault="0019396C">
            <w:pPr>
              <w:jc w:val="both"/>
              <w:rPr>
                <w:rFonts w:ascii="Arial Narrow" w:eastAsia="Arial Narrow" w:hAnsi="Arial Narrow" w:cs="Arial Narrow"/>
                <w:sz w:val="22"/>
                <w:szCs w:val="22"/>
              </w:rPr>
            </w:pPr>
            <w:r>
              <w:rPr>
                <w:rFonts w:ascii="Arial Narrow" w:eastAsia="Arial Narrow" w:hAnsi="Arial Narrow" w:cs="Arial Narrow"/>
                <w:sz w:val="22"/>
                <w:szCs w:val="22"/>
              </w:rPr>
              <w:t>Concepto de Abogacía de la Competencia de la Superintendencia de Industria y Comercio</w:t>
            </w:r>
          </w:p>
          <w:p w14:paraId="000000B1" w14:textId="77777777" w:rsidR="002012D8" w:rsidRDefault="0019396C">
            <w:pPr>
              <w:jc w:val="both"/>
              <w:rPr>
                <w:rFonts w:ascii="Arial Narrow" w:eastAsia="Arial Narrow" w:hAnsi="Arial Narrow" w:cs="Arial Narrow"/>
                <w:i/>
                <w:iCs/>
                <w:color w:val="808080"/>
                <w:sz w:val="22"/>
                <w:szCs w:val="22"/>
              </w:rPr>
            </w:pPr>
            <w:r>
              <w:rPr>
                <w:rFonts w:ascii="Arial Narrow" w:eastAsia="Arial Narrow" w:hAnsi="Arial Narrow" w:cs="Arial Narrow"/>
                <w:i/>
                <w:iCs/>
                <w:color w:val="808080"/>
              </w:rPr>
              <w:t>(Cuando los proyectos normativos tengan incidencia en la libre competencia de los mercados)</w:t>
            </w:r>
          </w:p>
        </w:tc>
        <w:tc>
          <w:tcPr>
            <w:tcW w:w="3120" w:type="dxa"/>
            <w:tcBorders>
              <w:top w:val="single" w:sz="4" w:space="0" w:color="000000"/>
              <w:left w:val="single" w:sz="4" w:space="0" w:color="000000"/>
              <w:bottom w:val="single" w:sz="4" w:space="0" w:color="000000"/>
            </w:tcBorders>
            <w:shd w:val="clear" w:color="auto" w:fill="FFFFFF"/>
            <w:vAlign w:val="center"/>
          </w:tcPr>
          <w:p w14:paraId="000000B3" w14:textId="77777777" w:rsidR="002012D8" w:rsidRDefault="0019396C">
            <w:pPr>
              <w:jc w:val="center"/>
              <w:rPr>
                <w:rFonts w:ascii="Arial Narrow" w:eastAsia="Arial Narrow" w:hAnsi="Arial Narrow" w:cs="Arial Narrow"/>
                <w:sz w:val="22"/>
                <w:szCs w:val="22"/>
              </w:rPr>
            </w:pPr>
            <w:r>
              <w:rPr>
                <w:rFonts w:ascii="Arial Narrow" w:eastAsia="Arial Narrow" w:hAnsi="Arial Narrow" w:cs="Arial Narrow"/>
                <w:i/>
                <w:iCs/>
                <w:sz w:val="22"/>
                <w:szCs w:val="22"/>
              </w:rPr>
              <w:t>No aplica</w:t>
            </w:r>
          </w:p>
        </w:tc>
      </w:tr>
      <w:tr w:rsidR="002012D8" w14:paraId="1034065C" w14:textId="77777777">
        <w:trPr>
          <w:trHeight w:val="66"/>
        </w:trPr>
        <w:tc>
          <w:tcPr>
            <w:tcW w:w="7635" w:type="dxa"/>
            <w:gridSpan w:val="2"/>
            <w:tcBorders>
              <w:top w:val="single" w:sz="4" w:space="0" w:color="000000"/>
              <w:bottom w:val="single" w:sz="4" w:space="0" w:color="000000"/>
              <w:right w:val="single" w:sz="4" w:space="0" w:color="000000"/>
            </w:tcBorders>
            <w:shd w:val="clear" w:color="auto" w:fill="FFFFFF"/>
            <w:vAlign w:val="center"/>
          </w:tcPr>
          <w:p w14:paraId="000000B4" w14:textId="77777777" w:rsidR="002012D8" w:rsidRDefault="0019396C">
            <w:pPr>
              <w:jc w:val="both"/>
              <w:rPr>
                <w:rFonts w:ascii="Arial Narrow" w:eastAsia="Arial Narrow" w:hAnsi="Arial Narrow" w:cs="Arial Narrow"/>
                <w:sz w:val="22"/>
                <w:szCs w:val="22"/>
              </w:rPr>
            </w:pPr>
            <w:r>
              <w:rPr>
                <w:rFonts w:ascii="Arial Narrow" w:eastAsia="Arial Narrow" w:hAnsi="Arial Narrow" w:cs="Arial Narrow"/>
                <w:sz w:val="22"/>
                <w:szCs w:val="22"/>
              </w:rPr>
              <w:t>Concepto de aprobación nuevos trámites del Departamento Administrativo de la Función Pública</w:t>
            </w:r>
          </w:p>
          <w:p w14:paraId="000000B5" w14:textId="77777777" w:rsidR="002012D8" w:rsidRDefault="0019396C">
            <w:pPr>
              <w:jc w:val="both"/>
              <w:rPr>
                <w:rFonts w:ascii="Arial Narrow" w:eastAsia="Arial Narrow" w:hAnsi="Arial Narrow" w:cs="Arial Narrow"/>
                <w:sz w:val="22"/>
                <w:szCs w:val="22"/>
              </w:rPr>
            </w:pPr>
            <w:r>
              <w:rPr>
                <w:rFonts w:ascii="Arial Narrow" w:eastAsia="Arial Narrow" w:hAnsi="Arial Narrow" w:cs="Arial Narrow"/>
                <w:i/>
                <w:iCs/>
                <w:color w:val="808080"/>
              </w:rPr>
              <w:t>(Cuando el proyecto normativo adopte o modifique un trámite)</w:t>
            </w:r>
          </w:p>
        </w:tc>
        <w:tc>
          <w:tcPr>
            <w:tcW w:w="3120" w:type="dxa"/>
            <w:tcBorders>
              <w:top w:val="single" w:sz="4" w:space="0" w:color="000000"/>
              <w:left w:val="single" w:sz="4" w:space="0" w:color="000000"/>
              <w:bottom w:val="single" w:sz="4" w:space="0" w:color="000000"/>
            </w:tcBorders>
            <w:shd w:val="clear" w:color="auto" w:fill="FFFFFF"/>
            <w:vAlign w:val="center"/>
          </w:tcPr>
          <w:p w14:paraId="000000B7" w14:textId="77777777" w:rsidR="002012D8" w:rsidRDefault="0019396C">
            <w:pPr>
              <w:jc w:val="center"/>
              <w:rPr>
                <w:rFonts w:ascii="Arial Narrow" w:eastAsia="Arial Narrow" w:hAnsi="Arial Narrow" w:cs="Arial Narrow"/>
                <w:sz w:val="22"/>
                <w:szCs w:val="22"/>
              </w:rPr>
            </w:pPr>
            <w:r>
              <w:rPr>
                <w:rFonts w:ascii="Arial Narrow" w:eastAsia="Arial Narrow" w:hAnsi="Arial Narrow" w:cs="Arial Narrow"/>
                <w:sz w:val="22"/>
                <w:szCs w:val="22"/>
              </w:rPr>
              <w:t>X</w:t>
            </w:r>
          </w:p>
        </w:tc>
      </w:tr>
      <w:tr w:rsidR="002012D8" w14:paraId="36E4BA2F" w14:textId="77777777">
        <w:trPr>
          <w:trHeight w:val="66"/>
        </w:trPr>
        <w:tc>
          <w:tcPr>
            <w:tcW w:w="7635" w:type="dxa"/>
            <w:gridSpan w:val="2"/>
            <w:tcBorders>
              <w:top w:val="single" w:sz="4" w:space="0" w:color="000000"/>
              <w:bottom w:val="single" w:sz="4" w:space="0" w:color="000000"/>
              <w:right w:val="single" w:sz="4" w:space="0" w:color="000000"/>
            </w:tcBorders>
            <w:shd w:val="clear" w:color="auto" w:fill="FFFFFF"/>
            <w:vAlign w:val="center"/>
          </w:tcPr>
          <w:p w14:paraId="000000B8" w14:textId="77777777" w:rsidR="002012D8" w:rsidRDefault="0019396C">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Otro </w:t>
            </w:r>
          </w:p>
          <w:p w14:paraId="000000B9" w14:textId="77777777" w:rsidR="002012D8" w:rsidRDefault="0019396C">
            <w:pPr>
              <w:jc w:val="both"/>
              <w:rPr>
                <w:rFonts w:ascii="Arial Narrow" w:eastAsia="Arial Narrow" w:hAnsi="Arial Narrow" w:cs="Arial Narrow"/>
                <w:sz w:val="22"/>
                <w:szCs w:val="22"/>
              </w:rPr>
            </w:pPr>
            <w:r>
              <w:rPr>
                <w:rFonts w:ascii="Arial Narrow" w:eastAsia="Arial Narrow" w:hAnsi="Arial Narrow" w:cs="Arial Narrow"/>
                <w:i/>
                <w:iCs/>
                <w:color w:val="808080"/>
              </w:rPr>
              <w:t>(Cualquier otro aspecto que la entidad originadora de la norma considere relevante o de importancia)</w:t>
            </w:r>
          </w:p>
        </w:tc>
        <w:tc>
          <w:tcPr>
            <w:tcW w:w="3120" w:type="dxa"/>
            <w:tcBorders>
              <w:top w:val="single" w:sz="4" w:space="0" w:color="000000"/>
              <w:left w:val="single" w:sz="4" w:space="0" w:color="000000"/>
              <w:bottom w:val="single" w:sz="4" w:space="0" w:color="000000"/>
            </w:tcBorders>
            <w:shd w:val="clear" w:color="auto" w:fill="FFFFFF"/>
            <w:vAlign w:val="center"/>
          </w:tcPr>
          <w:p w14:paraId="000000BB" w14:textId="77777777" w:rsidR="002012D8" w:rsidRDefault="0019396C">
            <w:pPr>
              <w:numPr>
                <w:ilvl w:val="0"/>
                <w:numId w:val="3"/>
              </w:numPr>
              <w:jc w:val="both"/>
              <w:rPr>
                <w:rFonts w:ascii="Arial Narrow" w:eastAsia="Arial Narrow" w:hAnsi="Arial Narrow" w:cs="Arial Narrow"/>
                <w:sz w:val="22"/>
                <w:szCs w:val="22"/>
              </w:rPr>
            </w:pPr>
            <w:r>
              <w:rPr>
                <w:rFonts w:ascii="Arial Narrow" w:eastAsia="Arial Narrow" w:hAnsi="Arial Narrow" w:cs="Arial Narrow"/>
                <w:sz w:val="22"/>
                <w:szCs w:val="22"/>
              </w:rPr>
              <w:t>Concepto previo de la Academia Colombiana de Ciencias Exactas, Físicas y Naturales (una vez sea emitido).</w:t>
            </w:r>
          </w:p>
          <w:p w14:paraId="000000BC" w14:textId="77777777" w:rsidR="002012D8" w:rsidRDefault="0019396C">
            <w:pPr>
              <w:numPr>
                <w:ilvl w:val="0"/>
                <w:numId w:val="3"/>
              </w:numPr>
              <w:jc w:val="both"/>
              <w:rPr>
                <w:rFonts w:ascii="Arial Narrow" w:eastAsia="Arial Narrow" w:hAnsi="Arial Narrow" w:cs="Arial Narrow"/>
                <w:sz w:val="22"/>
                <w:szCs w:val="22"/>
              </w:rPr>
            </w:pPr>
            <w:r>
              <w:rPr>
                <w:rFonts w:ascii="Arial Narrow" w:eastAsia="Arial Narrow" w:hAnsi="Arial Narrow" w:cs="Arial Narrow"/>
                <w:sz w:val="22"/>
                <w:szCs w:val="22"/>
              </w:rPr>
              <w:t>Documento síntesis de declaratoria.</w:t>
            </w:r>
          </w:p>
          <w:p w14:paraId="000000BD" w14:textId="77777777" w:rsidR="002012D8" w:rsidRDefault="0019396C">
            <w:pPr>
              <w:numPr>
                <w:ilvl w:val="0"/>
                <w:numId w:val="3"/>
              </w:numPr>
              <w:jc w:val="both"/>
              <w:rPr>
                <w:rFonts w:ascii="Arial Narrow" w:eastAsia="Arial Narrow" w:hAnsi="Arial Narrow" w:cs="Arial Narrow"/>
                <w:sz w:val="22"/>
                <w:szCs w:val="22"/>
              </w:rPr>
            </w:pPr>
            <w:r>
              <w:rPr>
                <w:rFonts w:ascii="Arial Narrow" w:eastAsia="Arial Narrow" w:hAnsi="Arial Narrow" w:cs="Arial Narrow"/>
                <w:sz w:val="22"/>
                <w:szCs w:val="22"/>
              </w:rPr>
              <w:t>Estudios técnicos, sociales, ambientales, jurídicos y prediales.</w:t>
            </w:r>
          </w:p>
          <w:p w14:paraId="000000BE" w14:textId="77777777" w:rsidR="002012D8" w:rsidRDefault="0019396C">
            <w:pPr>
              <w:numPr>
                <w:ilvl w:val="0"/>
                <w:numId w:val="3"/>
              </w:numPr>
              <w:jc w:val="both"/>
              <w:rPr>
                <w:rFonts w:ascii="Arial Narrow" w:eastAsia="Arial Narrow" w:hAnsi="Arial Narrow" w:cs="Arial Narrow"/>
                <w:sz w:val="22"/>
                <w:szCs w:val="22"/>
              </w:rPr>
            </w:pPr>
            <w:r>
              <w:rPr>
                <w:rFonts w:ascii="Arial Narrow" w:eastAsia="Arial Narrow" w:hAnsi="Arial Narrow" w:cs="Arial Narrow"/>
                <w:sz w:val="22"/>
                <w:szCs w:val="22"/>
              </w:rPr>
              <w:t>Cartografía oficial y anexos técnicos.</w:t>
            </w:r>
          </w:p>
          <w:p w14:paraId="000000BF" w14:textId="77777777" w:rsidR="002012D8" w:rsidRDefault="0019396C">
            <w:pPr>
              <w:numPr>
                <w:ilvl w:val="0"/>
                <w:numId w:val="3"/>
              </w:numPr>
              <w:jc w:val="both"/>
              <w:rPr>
                <w:rFonts w:ascii="Arial Narrow" w:eastAsia="Arial Narrow" w:hAnsi="Arial Narrow" w:cs="Arial Narrow"/>
                <w:sz w:val="22"/>
                <w:szCs w:val="22"/>
              </w:rPr>
            </w:pPr>
            <w:r>
              <w:rPr>
                <w:rFonts w:ascii="Arial Narrow" w:eastAsia="Arial Narrow" w:hAnsi="Arial Narrow" w:cs="Arial Narrow"/>
                <w:sz w:val="22"/>
                <w:szCs w:val="22"/>
              </w:rPr>
              <w:t>Conceptos institucionales requeridos durante el proceso de declaratoria.</w:t>
            </w:r>
          </w:p>
        </w:tc>
      </w:tr>
    </w:tbl>
    <w:p w14:paraId="000000C0" w14:textId="77777777" w:rsidR="002012D8" w:rsidRDefault="002012D8">
      <w:pPr>
        <w:ind w:right="-377"/>
        <w:jc w:val="both"/>
        <w:rPr>
          <w:rFonts w:ascii="Arial Narrow" w:eastAsia="Arial Narrow" w:hAnsi="Arial Narrow" w:cs="Arial Narrow"/>
          <w:sz w:val="22"/>
          <w:szCs w:val="22"/>
        </w:rPr>
      </w:pPr>
    </w:p>
    <w:p w14:paraId="000000C1" w14:textId="77777777" w:rsidR="002012D8" w:rsidRDefault="0019396C">
      <w:pPr>
        <w:ind w:left="-1276" w:right="-377" w:firstLine="283"/>
        <w:jc w:val="both"/>
        <w:rPr>
          <w:rFonts w:ascii="Arial Narrow" w:eastAsia="Arial Narrow" w:hAnsi="Arial Narrow" w:cs="Arial Narrow"/>
          <w:b/>
          <w:bCs/>
          <w:sz w:val="22"/>
          <w:szCs w:val="22"/>
        </w:rPr>
      </w:pPr>
      <w:r>
        <w:rPr>
          <w:rFonts w:ascii="Arial Narrow" w:eastAsia="Arial Narrow" w:hAnsi="Arial Narrow" w:cs="Arial Narrow"/>
          <w:b/>
          <w:bCs/>
          <w:sz w:val="22"/>
          <w:szCs w:val="22"/>
        </w:rPr>
        <w:t>Aprobó:</w:t>
      </w:r>
    </w:p>
    <w:p w14:paraId="000000C2" w14:textId="77777777" w:rsidR="002012D8" w:rsidRDefault="002012D8">
      <w:pPr>
        <w:ind w:right="-377"/>
        <w:jc w:val="both"/>
        <w:rPr>
          <w:rFonts w:ascii="Arial Narrow" w:eastAsia="Arial Narrow" w:hAnsi="Arial Narrow" w:cs="Arial Narrow"/>
          <w:sz w:val="22"/>
          <w:szCs w:val="22"/>
        </w:rPr>
      </w:pPr>
    </w:p>
    <w:p w14:paraId="000000C3" w14:textId="77777777" w:rsidR="002012D8" w:rsidRDefault="002012D8">
      <w:pPr>
        <w:ind w:right="-377"/>
        <w:jc w:val="both"/>
        <w:rPr>
          <w:rFonts w:ascii="Arial Narrow" w:eastAsia="Arial Narrow" w:hAnsi="Arial Narrow" w:cs="Arial Narrow"/>
          <w:sz w:val="22"/>
          <w:szCs w:val="22"/>
        </w:rPr>
      </w:pPr>
    </w:p>
    <w:p w14:paraId="000000C4" w14:textId="77777777" w:rsidR="002012D8" w:rsidRDefault="0019396C">
      <w:pPr>
        <w:pBdr>
          <w:top w:val="nil"/>
          <w:left w:val="nil"/>
          <w:bottom w:val="nil"/>
          <w:right w:val="nil"/>
          <w:between w:val="nil"/>
        </w:pBdr>
        <w:spacing w:line="276" w:lineRule="auto"/>
        <w:ind w:left="-993"/>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_______________________________________________________________________</w:t>
      </w:r>
    </w:p>
    <w:p w14:paraId="000000C5" w14:textId="77777777" w:rsidR="002012D8" w:rsidRDefault="0019396C">
      <w:pPr>
        <w:pBdr>
          <w:top w:val="nil"/>
          <w:left w:val="nil"/>
          <w:bottom w:val="nil"/>
          <w:right w:val="nil"/>
          <w:between w:val="nil"/>
        </w:pBdr>
        <w:spacing w:line="276" w:lineRule="auto"/>
        <w:ind w:left="-993"/>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Laura Camila Ramos Diaz</w:t>
      </w:r>
    </w:p>
    <w:p w14:paraId="000000C6" w14:textId="77777777" w:rsidR="002012D8" w:rsidRDefault="0019396C">
      <w:pPr>
        <w:pBdr>
          <w:top w:val="nil"/>
          <w:left w:val="nil"/>
          <w:bottom w:val="nil"/>
          <w:right w:val="nil"/>
          <w:between w:val="nil"/>
        </w:pBdr>
        <w:spacing w:line="276" w:lineRule="auto"/>
        <w:ind w:left="-993"/>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Jefe de Oficina Asesora Jurídica</w:t>
      </w:r>
    </w:p>
    <w:p w14:paraId="000000C7" w14:textId="77777777" w:rsidR="002012D8" w:rsidRDefault="0019396C">
      <w:pPr>
        <w:pBdr>
          <w:top w:val="nil"/>
          <w:left w:val="nil"/>
          <w:bottom w:val="nil"/>
          <w:right w:val="nil"/>
          <w:between w:val="nil"/>
        </w:pBdr>
        <w:spacing w:line="276" w:lineRule="auto"/>
        <w:ind w:left="-993"/>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Ministerio de Ambiente y Desarrollo Sostenible</w:t>
      </w:r>
    </w:p>
    <w:p w14:paraId="000000C8" w14:textId="77777777" w:rsidR="002012D8" w:rsidRDefault="002012D8">
      <w:pPr>
        <w:pBdr>
          <w:top w:val="nil"/>
          <w:left w:val="nil"/>
          <w:bottom w:val="nil"/>
          <w:right w:val="nil"/>
          <w:between w:val="nil"/>
        </w:pBdr>
        <w:spacing w:line="276" w:lineRule="auto"/>
        <w:ind w:left="-993"/>
        <w:jc w:val="center"/>
        <w:rPr>
          <w:rFonts w:ascii="Arial Narrow" w:eastAsia="Arial Narrow" w:hAnsi="Arial Narrow" w:cs="Arial Narrow"/>
          <w:b/>
          <w:bCs/>
          <w:color w:val="000000"/>
          <w:sz w:val="22"/>
          <w:szCs w:val="22"/>
        </w:rPr>
      </w:pPr>
    </w:p>
    <w:p w14:paraId="000000C9" w14:textId="77777777" w:rsidR="002012D8" w:rsidRDefault="0019396C">
      <w:pPr>
        <w:pBdr>
          <w:top w:val="nil"/>
          <w:left w:val="nil"/>
          <w:bottom w:val="nil"/>
          <w:right w:val="nil"/>
          <w:between w:val="nil"/>
        </w:pBdr>
        <w:spacing w:line="276" w:lineRule="auto"/>
        <w:ind w:left="-993"/>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_______________________________________________________________________</w:t>
      </w:r>
    </w:p>
    <w:p w14:paraId="000000CA" w14:textId="77777777" w:rsidR="002012D8" w:rsidRDefault="0019396C">
      <w:pPr>
        <w:pBdr>
          <w:top w:val="nil"/>
          <w:left w:val="nil"/>
          <w:bottom w:val="nil"/>
          <w:right w:val="nil"/>
          <w:between w:val="nil"/>
        </w:pBdr>
        <w:spacing w:line="276" w:lineRule="auto"/>
        <w:ind w:left="-993"/>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Marta Cecilia Díaz Leguizamón</w:t>
      </w:r>
    </w:p>
    <w:p w14:paraId="000000CB" w14:textId="77777777" w:rsidR="002012D8" w:rsidRDefault="0019396C">
      <w:pPr>
        <w:pBdr>
          <w:top w:val="nil"/>
          <w:left w:val="nil"/>
          <w:bottom w:val="nil"/>
          <w:right w:val="nil"/>
          <w:between w:val="nil"/>
        </w:pBdr>
        <w:spacing w:line="276" w:lineRule="auto"/>
        <w:ind w:left="-993"/>
        <w:jc w:val="center"/>
        <w:rPr>
          <w:rFonts w:ascii="Arial Narrow" w:eastAsia="Arial Narrow" w:hAnsi="Arial Narrow" w:cs="Arial Narrow"/>
          <w:b/>
          <w:bCs/>
          <w:i/>
          <w:iCs/>
          <w:color w:val="000000"/>
          <w:sz w:val="22"/>
          <w:szCs w:val="22"/>
        </w:rPr>
      </w:pPr>
      <w:r>
        <w:rPr>
          <w:rFonts w:ascii="Arial Narrow" w:eastAsia="Arial Narrow" w:hAnsi="Arial Narrow" w:cs="Arial Narrow"/>
          <w:b/>
          <w:bCs/>
          <w:i/>
          <w:iCs/>
          <w:color w:val="000000"/>
          <w:sz w:val="22"/>
          <w:szCs w:val="22"/>
        </w:rPr>
        <w:t>Subdirectora de Gestión y Manejo de Áreas Protegidas</w:t>
      </w:r>
    </w:p>
    <w:p w14:paraId="000000CC" w14:textId="77777777" w:rsidR="002012D8" w:rsidRDefault="0019396C">
      <w:pPr>
        <w:pBdr>
          <w:top w:val="nil"/>
          <w:left w:val="nil"/>
          <w:bottom w:val="nil"/>
          <w:right w:val="nil"/>
          <w:between w:val="nil"/>
        </w:pBdr>
        <w:spacing w:line="276" w:lineRule="auto"/>
        <w:ind w:left="-993"/>
        <w:jc w:val="center"/>
        <w:rPr>
          <w:rFonts w:ascii="Arial Narrow" w:eastAsia="Arial Narrow" w:hAnsi="Arial Narrow" w:cs="Arial Narrow"/>
          <w:b/>
          <w:bCs/>
          <w:i/>
          <w:iCs/>
          <w:color w:val="000000"/>
          <w:sz w:val="22"/>
          <w:szCs w:val="22"/>
        </w:rPr>
      </w:pPr>
      <w:r>
        <w:rPr>
          <w:rFonts w:ascii="Arial Narrow" w:eastAsia="Arial Narrow" w:hAnsi="Arial Narrow" w:cs="Arial Narrow"/>
          <w:b/>
          <w:bCs/>
          <w:i/>
          <w:iCs/>
          <w:color w:val="000000"/>
          <w:sz w:val="22"/>
          <w:szCs w:val="22"/>
        </w:rPr>
        <w:t>Parques Nacionales Naturales de Colombia.</w:t>
      </w:r>
    </w:p>
    <w:p w14:paraId="000000CD" w14:textId="77777777" w:rsidR="002012D8" w:rsidRDefault="002012D8">
      <w:pPr>
        <w:pBdr>
          <w:top w:val="nil"/>
          <w:left w:val="nil"/>
          <w:bottom w:val="nil"/>
          <w:right w:val="nil"/>
          <w:between w:val="nil"/>
        </w:pBdr>
        <w:spacing w:line="276" w:lineRule="auto"/>
        <w:ind w:left="-993"/>
        <w:jc w:val="center"/>
        <w:rPr>
          <w:rFonts w:ascii="Arial Narrow" w:eastAsia="Arial Narrow" w:hAnsi="Arial Narrow" w:cs="Arial Narrow"/>
          <w:b/>
          <w:bCs/>
          <w:color w:val="000000"/>
          <w:sz w:val="22"/>
          <w:szCs w:val="22"/>
        </w:rPr>
      </w:pPr>
    </w:p>
    <w:p w14:paraId="000000CE" w14:textId="77777777" w:rsidR="002012D8" w:rsidRDefault="002012D8">
      <w:pPr>
        <w:pBdr>
          <w:top w:val="nil"/>
          <w:left w:val="nil"/>
          <w:bottom w:val="nil"/>
          <w:right w:val="nil"/>
          <w:between w:val="nil"/>
        </w:pBdr>
        <w:spacing w:line="276" w:lineRule="auto"/>
        <w:ind w:left="-993"/>
        <w:jc w:val="center"/>
        <w:rPr>
          <w:rFonts w:ascii="Arial Narrow" w:eastAsia="Arial Narrow" w:hAnsi="Arial Narrow" w:cs="Arial Narrow"/>
          <w:b/>
          <w:bCs/>
          <w:color w:val="000000"/>
          <w:sz w:val="22"/>
          <w:szCs w:val="22"/>
        </w:rPr>
      </w:pPr>
    </w:p>
    <w:p w14:paraId="000000CF" w14:textId="77777777" w:rsidR="002012D8" w:rsidRDefault="0019396C">
      <w:pPr>
        <w:pBdr>
          <w:top w:val="nil"/>
          <w:left w:val="nil"/>
          <w:bottom w:val="nil"/>
          <w:right w:val="nil"/>
          <w:between w:val="nil"/>
        </w:pBdr>
        <w:spacing w:line="276" w:lineRule="auto"/>
        <w:ind w:left="-993"/>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_______________________________________________________________________</w:t>
      </w:r>
    </w:p>
    <w:p w14:paraId="000000D0" w14:textId="77777777" w:rsidR="002012D8" w:rsidRDefault="002012D8">
      <w:pPr>
        <w:pBdr>
          <w:top w:val="nil"/>
          <w:left w:val="nil"/>
          <w:bottom w:val="nil"/>
          <w:right w:val="nil"/>
          <w:between w:val="nil"/>
        </w:pBdr>
        <w:spacing w:line="276" w:lineRule="auto"/>
        <w:ind w:left="-993"/>
        <w:jc w:val="center"/>
        <w:rPr>
          <w:rFonts w:ascii="Arial Narrow" w:eastAsia="Arial Narrow" w:hAnsi="Arial Narrow" w:cs="Arial Narrow"/>
          <w:b/>
          <w:bCs/>
          <w:color w:val="000000"/>
          <w:sz w:val="22"/>
          <w:szCs w:val="22"/>
        </w:rPr>
      </w:pPr>
    </w:p>
    <w:p w14:paraId="000000D1" w14:textId="77777777" w:rsidR="002012D8" w:rsidRDefault="0019396C">
      <w:pPr>
        <w:pBdr>
          <w:top w:val="nil"/>
          <w:left w:val="nil"/>
          <w:bottom w:val="nil"/>
          <w:right w:val="nil"/>
          <w:between w:val="nil"/>
        </w:pBdr>
        <w:spacing w:line="276" w:lineRule="auto"/>
        <w:ind w:left="-993"/>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Manuel Ávila Olarte</w:t>
      </w:r>
    </w:p>
    <w:p w14:paraId="000000D2" w14:textId="77777777" w:rsidR="002012D8" w:rsidRDefault="0019396C">
      <w:pPr>
        <w:pBdr>
          <w:top w:val="nil"/>
          <w:left w:val="nil"/>
          <w:bottom w:val="nil"/>
          <w:right w:val="nil"/>
          <w:between w:val="nil"/>
        </w:pBdr>
        <w:spacing w:line="276" w:lineRule="auto"/>
        <w:ind w:left="-993"/>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Jefe de Oficina Asesora Jurídica</w:t>
      </w:r>
    </w:p>
    <w:p w14:paraId="000000D3" w14:textId="77777777" w:rsidR="002012D8" w:rsidRDefault="0019396C">
      <w:pPr>
        <w:pBdr>
          <w:top w:val="nil"/>
          <w:left w:val="nil"/>
          <w:bottom w:val="nil"/>
          <w:right w:val="nil"/>
          <w:between w:val="nil"/>
        </w:pBdr>
        <w:spacing w:after="200" w:line="276" w:lineRule="auto"/>
        <w:ind w:left="-993"/>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Parques Nacionales Naturales de Colombia</w:t>
      </w:r>
    </w:p>
    <w:sectPr w:rsidR="002012D8">
      <w:headerReference w:type="even" r:id="rId9"/>
      <w:headerReference w:type="default" r:id="rId10"/>
      <w:footerReference w:type="default" r:id="rId11"/>
      <w:headerReference w:type="first" r:id="rId12"/>
      <w:footerReference w:type="first" r:id="rId13"/>
      <w:pgSz w:w="12240" w:h="15840"/>
      <w:pgMar w:top="1616" w:right="616" w:bottom="1115" w:left="1701" w:header="624"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DBEDA9" w14:textId="77777777" w:rsidR="00E950FC" w:rsidRDefault="00E950FC">
      <w:r>
        <w:separator/>
      </w:r>
    </w:p>
  </w:endnote>
  <w:endnote w:type="continuationSeparator" w:id="0">
    <w:p w14:paraId="782C83D2" w14:textId="77777777" w:rsidR="00E950FC" w:rsidRDefault="00E950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CAB7D9FF-CB06-4EC2-A46D-1282BFB52D31}"/>
    <w:embedItalic r:id="rId2" w:fontKey="{1D4175F3-0078-4F51-A2BF-467929E367FF}"/>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Bold r:id="rId3" w:fontKey="{0E07FF1D-5413-46DF-9B8F-48D3C0E9B7AF}"/>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0306CA88-36A9-482A-A1B0-F58A66CD51E0}"/>
  </w:font>
  <w:font w:name="Segoe UI">
    <w:panose1 w:val="020B0502040204020203"/>
    <w:charset w:val="00"/>
    <w:family w:val="swiss"/>
    <w:pitch w:val="variable"/>
    <w:sig w:usb0="E4002EFF" w:usb1="C000E47F" w:usb2="00000009" w:usb3="00000000" w:csb0="000001FF" w:csb1="00000000"/>
    <w:embedRegular r:id="rId5" w:fontKey="{87360FA5-6312-4AF9-8369-5CD509EE8905}"/>
  </w:font>
  <w:font w:name="Arial Narrow">
    <w:panose1 w:val="020B0606020202030204"/>
    <w:charset w:val="00"/>
    <w:family w:val="swiss"/>
    <w:pitch w:val="variable"/>
    <w:sig w:usb0="00000287" w:usb1="00000800" w:usb2="00000000" w:usb3="00000000" w:csb0="0000009F" w:csb1="00000000"/>
    <w:embedRegular r:id="rId6" w:fontKey="{8F22D97A-EABC-45A2-A49C-9B63FF449AC4}"/>
    <w:embedBold r:id="rId7" w:fontKey="{6FF1FEBA-FC74-4EAE-B66D-552C745213B4}"/>
    <w:embedItalic r:id="rId8" w:fontKey="{19181C34-640F-4AF3-9790-A85A18649F72}"/>
    <w:embedBoldItalic r:id="rId9" w:fontKey="{040B916E-9CD2-42FD-A456-F011BEB26236}"/>
  </w:font>
  <w:font w:name="Calibri">
    <w:panose1 w:val="020F0502020204030204"/>
    <w:charset w:val="00"/>
    <w:family w:val="swiss"/>
    <w:pitch w:val="variable"/>
    <w:sig w:usb0="E4002EFF" w:usb1="C200247B" w:usb2="00000009" w:usb3="00000000" w:csb0="000001FF" w:csb1="00000000"/>
    <w:embedRegular r:id="rId10" w:fontKey="{CC7690EF-BA43-4832-877B-12F605AC5C85}"/>
  </w:font>
  <w:font w:name="Cambria">
    <w:panose1 w:val="02040503050406030204"/>
    <w:charset w:val="00"/>
    <w:family w:val="roman"/>
    <w:pitch w:val="variable"/>
    <w:sig w:usb0="E00006FF" w:usb1="420024FF" w:usb2="02000000" w:usb3="00000000" w:csb0="0000019F" w:csb1="00000000"/>
    <w:embedRegular r:id="rId11" w:fontKey="{69652D53-9FC4-4198-B310-595B22F367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EB" w14:textId="77777777" w:rsidR="002012D8" w:rsidRDefault="0019396C">
    <w:pPr>
      <w:pBdr>
        <w:top w:val="nil"/>
        <w:left w:val="nil"/>
        <w:bottom w:val="nil"/>
        <w:right w:val="nil"/>
        <w:between w:val="nil"/>
      </w:pBdr>
      <w:tabs>
        <w:tab w:val="center" w:pos="4252"/>
        <w:tab w:val="right" w:pos="8504"/>
        <w:tab w:val="left" w:pos="3555"/>
      </w:tabs>
      <w:ind w:left="-993"/>
      <w:rPr>
        <w:rFonts w:ascii="Arial Narrow" w:eastAsia="Arial Narrow" w:hAnsi="Arial Narrow" w:cs="Arial Narrow"/>
        <w:color w:val="7F7F7F"/>
        <w:sz w:val="18"/>
        <w:szCs w:val="18"/>
      </w:rPr>
    </w:pPr>
    <w:bookmarkStart w:id="0" w:name="_heading=h.tfy2esqtg7pg" w:colFirst="0" w:colLast="0"/>
    <w:bookmarkEnd w:id="0"/>
    <w:r>
      <w:rPr>
        <w:rFonts w:ascii="Arial Narrow" w:eastAsia="Arial Narrow" w:hAnsi="Arial Narrow" w:cs="Arial Narrow"/>
        <w:color w:val="7F7F7F"/>
        <w:sz w:val="18"/>
        <w:szCs w:val="18"/>
      </w:rPr>
      <w:t>Formato tomado del Departamento Administrativo de la Función Pública a partir de lo reglamentado por medio del Decreto 1273 de 2020 y la Resolución 371 de 2020.</w:t>
    </w:r>
    <w:r>
      <w:rPr>
        <w:rFonts w:ascii="Arial Narrow" w:eastAsia="Arial Narrow" w:hAnsi="Arial Narrow" w:cs="Arial Narrow"/>
        <w:color w:val="7F7F7F"/>
        <w:sz w:val="18"/>
        <w:szCs w:val="18"/>
      </w:rPr>
      <w:tab/>
      <w:t xml:space="preserve">                               </w:t>
    </w:r>
  </w:p>
  <w:p w14:paraId="000000EC" w14:textId="77777777" w:rsidR="002012D8" w:rsidRDefault="0019396C">
    <w:pPr>
      <w:pBdr>
        <w:top w:val="nil"/>
        <w:left w:val="nil"/>
        <w:bottom w:val="nil"/>
        <w:right w:val="nil"/>
        <w:between w:val="nil"/>
      </w:pBdr>
      <w:tabs>
        <w:tab w:val="center" w:pos="4252"/>
        <w:tab w:val="right" w:pos="8504"/>
        <w:tab w:val="left" w:pos="3555"/>
      </w:tabs>
      <w:ind w:left="-993"/>
      <w:rPr>
        <w:color w:val="000000"/>
        <w:sz w:val="18"/>
        <w:szCs w:val="18"/>
      </w:rPr>
    </w:pPr>
    <w:r>
      <w:rPr>
        <w:color w:val="000000"/>
        <w:sz w:val="18"/>
        <w:szCs w:val="18"/>
      </w:rPr>
      <w:t xml:space="preserve">Calle 37 No. 8 – 40 </w:t>
    </w:r>
  </w:p>
  <w:p w14:paraId="000000ED" w14:textId="77777777" w:rsidR="002012D8" w:rsidRDefault="0019396C">
    <w:pPr>
      <w:pBdr>
        <w:top w:val="nil"/>
        <w:left w:val="nil"/>
        <w:bottom w:val="nil"/>
        <w:right w:val="nil"/>
        <w:between w:val="nil"/>
      </w:pBdr>
      <w:tabs>
        <w:tab w:val="center" w:pos="4252"/>
        <w:tab w:val="right" w:pos="8504"/>
        <w:tab w:val="left" w:pos="3555"/>
      </w:tabs>
      <w:ind w:left="-993"/>
      <w:rPr>
        <w:color w:val="000000"/>
        <w:sz w:val="18"/>
        <w:szCs w:val="18"/>
      </w:rPr>
    </w:pPr>
    <w:r>
      <w:rPr>
        <w:color w:val="000000"/>
        <w:sz w:val="18"/>
        <w:szCs w:val="18"/>
      </w:rPr>
      <w:t>Conmutador +57 6013323400</w:t>
    </w:r>
  </w:p>
  <w:p w14:paraId="000000EE" w14:textId="77777777" w:rsidR="002012D8" w:rsidRDefault="0019396C">
    <w:pPr>
      <w:pBdr>
        <w:top w:val="nil"/>
        <w:left w:val="nil"/>
        <w:bottom w:val="nil"/>
        <w:right w:val="nil"/>
        <w:between w:val="nil"/>
      </w:pBdr>
      <w:tabs>
        <w:tab w:val="center" w:pos="4252"/>
        <w:tab w:val="right" w:pos="8504"/>
        <w:tab w:val="left" w:pos="3555"/>
      </w:tabs>
      <w:ind w:left="-993"/>
      <w:rPr>
        <w:color w:val="000000"/>
        <w:sz w:val="18"/>
        <w:szCs w:val="18"/>
      </w:rPr>
    </w:pPr>
    <w:hyperlink r:id="rId1">
      <w:r>
        <w:rPr>
          <w:color w:val="0000FF"/>
          <w:sz w:val="18"/>
          <w:szCs w:val="18"/>
          <w:u w:val="single"/>
        </w:rPr>
        <w:t>www.minambiente.gov.co</w:t>
      </w:r>
    </w:hyperlink>
  </w:p>
  <w:p w14:paraId="000000EF" w14:textId="7DCF0DED" w:rsidR="002012D8" w:rsidRDefault="0019396C">
    <w:pPr>
      <w:pBdr>
        <w:top w:val="nil"/>
        <w:left w:val="nil"/>
        <w:bottom w:val="nil"/>
        <w:right w:val="nil"/>
        <w:between w:val="nil"/>
      </w:pBdr>
      <w:tabs>
        <w:tab w:val="center" w:pos="4252"/>
        <w:tab w:val="right" w:pos="8504"/>
        <w:tab w:val="left" w:pos="3555"/>
      </w:tabs>
      <w:ind w:left="-993"/>
      <w:rPr>
        <w:color w:val="000000"/>
      </w:rPr>
    </w:pPr>
    <w:r>
      <w:rPr>
        <w:color w:val="000000"/>
        <w:sz w:val="18"/>
        <w:szCs w:val="18"/>
      </w:rPr>
      <w:t>Bogotá, Colombia</w:t>
    </w:r>
    <w:r>
      <w:rPr>
        <w:color w:val="000000"/>
        <w:sz w:val="18"/>
        <w:szCs w:val="18"/>
      </w:rPr>
      <w:tab/>
    </w:r>
    <w:r>
      <w:rPr>
        <w:color w:val="000000"/>
        <w:sz w:val="18"/>
        <w:szCs w:val="18"/>
      </w:rPr>
      <w:tab/>
    </w:r>
    <w:r>
      <w:rPr>
        <w:color w:val="000000"/>
        <w:sz w:val="18"/>
        <w:szCs w:val="18"/>
      </w:rPr>
      <w:tab/>
    </w: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477921">
      <w:rPr>
        <w:b/>
        <w:bCs/>
        <w:noProof/>
        <w:color w:val="000000"/>
      </w:rPr>
      <w:t>1</w:t>
    </w:r>
    <w:r>
      <w:rPr>
        <w:b/>
        <w:bCs/>
        <w:color w:val="000000"/>
      </w:rPr>
      <w:fldChar w:fldCharType="end"/>
    </w:r>
    <w:r>
      <w:rPr>
        <w:color w:val="000000"/>
      </w:rPr>
      <w:t xml:space="preserve"> de 2</w:t>
    </w:r>
  </w:p>
  <w:p w14:paraId="000000F0" w14:textId="77777777" w:rsidR="002012D8" w:rsidRDefault="002012D8">
    <w:pPr>
      <w:pBdr>
        <w:top w:val="nil"/>
        <w:left w:val="nil"/>
        <w:bottom w:val="nil"/>
        <w:right w:val="nil"/>
        <w:between w:val="nil"/>
      </w:pBdr>
      <w:tabs>
        <w:tab w:val="center" w:pos="4252"/>
        <w:tab w:val="right" w:pos="8504"/>
        <w:tab w:val="left" w:pos="3555"/>
      </w:tabs>
      <w:ind w:left="-993"/>
      <w:rPr>
        <w:color w:val="000000"/>
      </w:rPr>
    </w:pPr>
  </w:p>
  <w:p w14:paraId="000000F1" w14:textId="77777777" w:rsidR="002012D8" w:rsidRDefault="002012D8">
    <w:pPr>
      <w:pBdr>
        <w:top w:val="nil"/>
        <w:left w:val="nil"/>
        <w:bottom w:val="nil"/>
        <w:right w:val="nil"/>
        <w:between w:val="nil"/>
      </w:pBdr>
      <w:tabs>
        <w:tab w:val="center" w:pos="4252"/>
        <w:tab w:val="right" w:pos="8504"/>
        <w:tab w:val="left" w:pos="3555"/>
      </w:tabs>
      <w:ind w:left="-993" w:right="-1085"/>
      <w:jc w:val="both"/>
      <w:rPr>
        <w:rFonts w:ascii="Arial Narrow" w:eastAsia="Arial Narrow" w:hAnsi="Arial Narrow" w:cs="Arial Narrow"/>
        <w:color w:val="7F7F7F"/>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F2" w14:textId="77777777" w:rsidR="002012D8" w:rsidRDefault="0019396C">
    <w:pPr>
      <w:pBdr>
        <w:top w:val="nil"/>
        <w:left w:val="nil"/>
        <w:bottom w:val="nil"/>
        <w:right w:val="nil"/>
        <w:between w:val="nil"/>
      </w:pBdr>
      <w:tabs>
        <w:tab w:val="center" w:pos="4252"/>
        <w:tab w:val="right" w:pos="8504"/>
        <w:tab w:val="left" w:pos="3555"/>
      </w:tabs>
      <w:jc w:val="both"/>
      <w:rPr>
        <w:rFonts w:ascii="Arial Narrow" w:eastAsia="Arial Narrow" w:hAnsi="Arial Narrow" w:cs="Arial Narrow"/>
        <w:color w:val="000000"/>
        <w:sz w:val="18"/>
        <w:szCs w:val="18"/>
      </w:rPr>
    </w:pPr>
    <w:r>
      <w:rPr>
        <w:rFonts w:ascii="Arial Narrow" w:eastAsia="Arial Narrow" w:hAnsi="Arial Narrow" w:cs="Arial Narrow"/>
        <w:color w:val="A6A6A6"/>
        <w:sz w:val="18"/>
        <w:szCs w:val="18"/>
      </w:rPr>
      <w:t>MEMORIA JUSTIFICATIVA</w:t>
    </w:r>
    <w:r>
      <w:rPr>
        <w:rFonts w:ascii="Arial Narrow" w:eastAsia="Arial Narrow" w:hAnsi="Arial Narrow" w:cs="Arial Narrow"/>
        <w:color w:val="A6A6A6"/>
        <w:sz w:val="18"/>
        <w:szCs w:val="18"/>
      </w:rPr>
      <w:tab/>
    </w:r>
    <w:r>
      <w:rPr>
        <w:rFonts w:ascii="Arial Narrow" w:eastAsia="Arial Narrow" w:hAnsi="Arial Narrow" w:cs="Arial Narrow"/>
        <w:color w:val="A6A6A6"/>
        <w:sz w:val="18"/>
        <w:szCs w:val="18"/>
      </w:rPr>
      <w:tab/>
    </w:r>
    <w:r>
      <w:rPr>
        <w:rFonts w:ascii="Arial Narrow" w:eastAsia="Arial Narrow" w:hAnsi="Arial Narrow" w:cs="Arial Narrow"/>
        <w:color w:val="A6A6A6"/>
        <w:sz w:val="18"/>
        <w:szCs w:val="18"/>
      </w:rPr>
      <w:tab/>
      <w:t xml:space="preserve">                                      </w:t>
    </w:r>
    <w:r>
      <w:rPr>
        <w:rFonts w:ascii="Arial Narrow" w:eastAsia="Arial Narrow" w:hAnsi="Arial Narrow" w:cs="Arial Narrow"/>
        <w:color w:val="000000"/>
        <w:sz w:val="18"/>
        <w:szCs w:val="18"/>
      </w:rPr>
      <w:t xml:space="preserve">Calle 37 No. 8 – 40 </w:t>
    </w:r>
  </w:p>
  <w:p w14:paraId="000000F3" w14:textId="77777777" w:rsidR="002012D8" w:rsidRDefault="0019396C">
    <w:pPr>
      <w:pBdr>
        <w:top w:val="nil"/>
        <w:left w:val="nil"/>
        <w:bottom w:val="nil"/>
        <w:right w:val="nil"/>
        <w:between w:val="nil"/>
      </w:pBdr>
      <w:tabs>
        <w:tab w:val="center" w:pos="4252"/>
        <w:tab w:val="right" w:pos="8504"/>
        <w:tab w:val="left" w:pos="3555"/>
      </w:tabs>
      <w:jc w:val="both"/>
      <w:rPr>
        <w:rFonts w:ascii="Arial Narrow" w:eastAsia="Arial Narrow" w:hAnsi="Arial Narrow" w:cs="Arial Narrow"/>
        <w:color w:val="000000"/>
        <w:sz w:val="18"/>
        <w:szCs w:val="18"/>
      </w:rPr>
    </w:pPr>
    <w:r>
      <w:rPr>
        <w:rFonts w:ascii="Arial Narrow" w:eastAsia="Arial Narrow" w:hAnsi="Arial Narrow" w:cs="Arial Narrow"/>
        <w:color w:val="A6A6A6"/>
        <w:sz w:val="18"/>
        <w:szCs w:val="18"/>
      </w:rPr>
      <w:t xml:space="preserve">F-A-GJR-07                                                                                  </w:t>
    </w:r>
    <w:r>
      <w:rPr>
        <w:rFonts w:ascii="Arial Narrow" w:eastAsia="Arial Narrow" w:hAnsi="Arial Narrow" w:cs="Arial Narrow"/>
        <w:color w:val="A6A6A6"/>
        <w:sz w:val="18"/>
        <w:szCs w:val="18"/>
      </w:rPr>
      <w:tab/>
    </w:r>
    <w:r>
      <w:rPr>
        <w:rFonts w:ascii="Arial Narrow" w:eastAsia="Arial Narrow" w:hAnsi="Arial Narrow" w:cs="Arial Narrow"/>
        <w:color w:val="A6A6A6"/>
        <w:sz w:val="18"/>
        <w:szCs w:val="18"/>
      </w:rPr>
      <w:tab/>
    </w:r>
    <w:r>
      <w:rPr>
        <w:rFonts w:ascii="Arial Narrow" w:eastAsia="Arial Narrow" w:hAnsi="Arial Narrow" w:cs="Arial Narrow"/>
        <w:color w:val="000000"/>
        <w:sz w:val="18"/>
        <w:szCs w:val="18"/>
      </w:rPr>
      <w:t>Conmutador (571) 3323400</w:t>
    </w:r>
  </w:p>
  <w:p w14:paraId="000000F4" w14:textId="77777777" w:rsidR="002012D8" w:rsidRDefault="0019396C">
    <w:pPr>
      <w:pBdr>
        <w:top w:val="nil"/>
        <w:left w:val="nil"/>
        <w:bottom w:val="nil"/>
        <w:right w:val="nil"/>
        <w:between w:val="nil"/>
      </w:pBdr>
      <w:tabs>
        <w:tab w:val="center" w:pos="4252"/>
        <w:tab w:val="right" w:pos="8504"/>
        <w:tab w:val="left" w:pos="3555"/>
      </w:tabs>
      <w:jc w:val="both"/>
      <w:rPr>
        <w:rFonts w:ascii="Arial Narrow" w:eastAsia="Arial Narrow" w:hAnsi="Arial Narrow" w:cs="Arial Narrow"/>
        <w:color w:val="000000"/>
        <w:sz w:val="18"/>
        <w:szCs w:val="18"/>
      </w:rPr>
    </w:pPr>
    <w:r>
      <w:rPr>
        <w:rFonts w:ascii="Arial Narrow" w:eastAsia="Arial Narrow" w:hAnsi="Arial Narrow" w:cs="Arial Narrow"/>
        <w:color w:val="FF0000"/>
        <w:sz w:val="18"/>
        <w:szCs w:val="18"/>
      </w:rPr>
      <w:t xml:space="preserve">Vigencia: 15/10/2020                                                                      </w:t>
    </w:r>
    <w:r>
      <w:rPr>
        <w:rFonts w:ascii="Arial Narrow" w:eastAsia="Arial Narrow" w:hAnsi="Arial Narrow" w:cs="Arial Narrow"/>
        <w:color w:val="A6A6A6"/>
        <w:sz w:val="18"/>
        <w:szCs w:val="18"/>
      </w:rPr>
      <w:tab/>
      <w:t xml:space="preserve">                                     </w:t>
    </w:r>
    <w:hyperlink r:id="rId1">
      <w:r>
        <w:rPr>
          <w:rFonts w:ascii="Arial Narrow" w:eastAsia="Arial Narrow" w:hAnsi="Arial Narrow" w:cs="Arial Narrow"/>
          <w:color w:val="0000FF"/>
          <w:sz w:val="18"/>
          <w:szCs w:val="18"/>
          <w:u w:val="single"/>
        </w:rPr>
        <w:t>www.minambiente.gov.co</w:t>
      </w:r>
    </w:hyperlink>
    <w:r>
      <w:rPr>
        <w:rFonts w:ascii="Arial Narrow" w:eastAsia="Arial Narrow" w:hAnsi="Arial Narrow" w:cs="Arial Narrow"/>
        <w:color w:val="000000"/>
        <w:sz w:val="18"/>
        <w:szCs w:val="18"/>
      </w:rPr>
      <w:t xml:space="preserve"> </w:t>
    </w:r>
  </w:p>
  <w:p w14:paraId="000000F5" w14:textId="77777777" w:rsidR="002012D8" w:rsidRDefault="0019396C">
    <w:pPr>
      <w:pBdr>
        <w:top w:val="nil"/>
        <w:left w:val="nil"/>
        <w:bottom w:val="nil"/>
        <w:right w:val="nil"/>
        <w:between w:val="nil"/>
      </w:pBdr>
      <w:tabs>
        <w:tab w:val="center" w:pos="4252"/>
        <w:tab w:val="right" w:pos="8504"/>
        <w:tab w:val="left" w:pos="3555"/>
      </w:tabs>
      <w:jc w:val="both"/>
      <w:rPr>
        <w:rFonts w:ascii="Arial Narrow" w:eastAsia="Arial Narrow" w:hAnsi="Arial Narrow" w:cs="Arial Narrow"/>
        <w:color w:val="000000"/>
        <w:sz w:val="18"/>
        <w:szCs w:val="18"/>
      </w:rPr>
    </w:pPr>
    <w:r>
      <w:rPr>
        <w:rFonts w:ascii="Arial Narrow" w:eastAsia="Arial Narrow" w:hAnsi="Arial Narrow" w:cs="Arial Narrow"/>
        <w:color w:val="A6A6A6"/>
        <w:sz w:val="18"/>
        <w:szCs w:val="18"/>
      </w:rPr>
      <w:t xml:space="preserve">Versión 3                                                                                                      </w:t>
    </w:r>
    <w:r>
      <w:rPr>
        <w:rFonts w:ascii="Arial Narrow" w:eastAsia="Arial Narrow" w:hAnsi="Arial Narrow" w:cs="Arial Narrow"/>
        <w:color w:val="A6A6A6"/>
        <w:sz w:val="18"/>
        <w:szCs w:val="18"/>
      </w:rPr>
      <w:tab/>
    </w:r>
    <w:r>
      <w:rPr>
        <w:rFonts w:ascii="Arial Narrow" w:eastAsia="Arial Narrow" w:hAnsi="Arial Narrow" w:cs="Arial Narrow"/>
        <w:color w:val="000000"/>
        <w:sz w:val="18"/>
        <w:szCs w:val="18"/>
      </w:rPr>
      <w:t>Bogotá, Colombia</w:t>
    </w:r>
  </w:p>
  <w:p w14:paraId="000000F6" w14:textId="77777777" w:rsidR="002012D8" w:rsidRDefault="002012D8">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89E232" w14:textId="77777777" w:rsidR="00E950FC" w:rsidRDefault="00E950FC">
      <w:r>
        <w:separator/>
      </w:r>
    </w:p>
  </w:footnote>
  <w:footnote w:type="continuationSeparator" w:id="0">
    <w:p w14:paraId="45DA1657" w14:textId="77777777" w:rsidR="00E950FC" w:rsidRDefault="00E950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D4" w14:textId="77777777" w:rsidR="002012D8" w:rsidRDefault="00000000">
    <w:pPr>
      <w:pBdr>
        <w:top w:val="nil"/>
        <w:left w:val="nil"/>
        <w:bottom w:val="nil"/>
        <w:right w:val="nil"/>
        <w:between w:val="nil"/>
      </w:pBdr>
      <w:tabs>
        <w:tab w:val="center" w:pos="4252"/>
        <w:tab w:val="right" w:pos="8504"/>
      </w:tabs>
      <w:rPr>
        <w:color w:val="000000"/>
      </w:rPr>
    </w:pPr>
    <w:r>
      <w:rPr>
        <w:color w:val="000000"/>
      </w:rPr>
      <w:pict w14:anchorId="02398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0;margin-top:0;width:496.05pt;height:149.6pt;z-index:-251657216;mso-position-horizontal:center;mso-position-horizontal-relative:margin;mso-position-vertical:center;mso-position-vertical-relative:margin">
          <v:imagedata r:id="rId1" o:title="image5"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D5" w14:textId="77777777" w:rsidR="002012D8" w:rsidRDefault="002012D8">
    <w:pPr>
      <w:pBdr>
        <w:top w:val="nil"/>
        <w:left w:val="nil"/>
        <w:bottom w:val="nil"/>
        <w:right w:val="nil"/>
        <w:between w:val="nil"/>
      </w:pBdr>
      <w:tabs>
        <w:tab w:val="center" w:pos="4252"/>
        <w:tab w:val="right" w:pos="8504"/>
      </w:tabs>
      <w:rPr>
        <w:color w:val="000000"/>
      </w:rPr>
    </w:pPr>
  </w:p>
  <w:tbl>
    <w:tblPr>
      <w:tblStyle w:val="a1"/>
      <w:tblW w:w="10773" w:type="dxa"/>
      <w:tblInd w:w="-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22"/>
      <w:gridCol w:w="6208"/>
      <w:gridCol w:w="1843"/>
    </w:tblGrid>
    <w:tr w:rsidR="002012D8" w14:paraId="6F683270" w14:textId="77777777">
      <w:trPr>
        <w:cantSplit/>
        <w:trHeight w:val="313"/>
      </w:trPr>
      <w:tc>
        <w:tcPr>
          <w:tcW w:w="2722" w:type="dxa"/>
          <w:vMerge w:val="restart"/>
          <w:vAlign w:val="center"/>
        </w:tcPr>
        <w:p w14:paraId="000000D6" w14:textId="77777777" w:rsidR="002012D8" w:rsidRDefault="0019396C">
          <w:pPr>
            <w:jc w:val="center"/>
            <w:rPr>
              <w:sz w:val="18"/>
              <w:szCs w:val="18"/>
            </w:rPr>
          </w:pPr>
          <w:r>
            <w:rPr>
              <w:sz w:val="18"/>
              <w:szCs w:val="18"/>
            </w:rPr>
            <w:t>MINISTERIO DE AMBIENTE Y DESARROLLO SOSTENIBLE</w:t>
          </w:r>
        </w:p>
      </w:tc>
      <w:tc>
        <w:tcPr>
          <w:tcW w:w="6209" w:type="dxa"/>
          <w:shd w:val="clear" w:color="auto" w:fill="154A8A"/>
        </w:tcPr>
        <w:p w14:paraId="000000D7" w14:textId="77777777" w:rsidR="002012D8" w:rsidRDefault="0019396C">
          <w:pPr>
            <w:spacing w:before="60"/>
            <w:ind w:right="-40"/>
            <w:jc w:val="center"/>
            <w:rPr>
              <w:b/>
              <w:bCs/>
              <w:color w:val="FFFFFF"/>
            </w:rPr>
          </w:pPr>
          <w:r>
            <w:rPr>
              <w:b/>
              <w:bCs/>
              <w:color w:val="FFFFFF"/>
            </w:rPr>
            <w:t>MEMORIA JUSTIFICATIVA</w:t>
          </w:r>
        </w:p>
      </w:tc>
      <w:tc>
        <w:tcPr>
          <w:tcW w:w="1843" w:type="dxa"/>
          <w:vMerge w:val="restart"/>
          <w:vAlign w:val="center"/>
        </w:tcPr>
        <w:p w14:paraId="000000D8" w14:textId="77777777" w:rsidR="002012D8" w:rsidRDefault="0019396C">
          <w:pPr>
            <w:ind w:right="-42"/>
            <w:jc w:val="center"/>
            <w:rPr>
              <w:b/>
              <w:bCs/>
            </w:rPr>
          </w:pPr>
          <w:r>
            <w:rPr>
              <w:b/>
              <w:bCs/>
              <w:noProof/>
            </w:rPr>
            <w:drawing>
              <wp:inline distT="0" distB="0" distL="0" distR="0" wp14:anchorId="6D7EDC17" wp14:editId="36CE41C9">
                <wp:extent cx="1049655" cy="325755"/>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l="-563" t="-1860" r="-1199" b="-3265"/>
                        <a:stretch>
                          <a:fillRect/>
                        </a:stretch>
                      </pic:blipFill>
                      <pic:spPr>
                        <a:xfrm>
                          <a:off x="0" y="0"/>
                          <a:ext cx="1049655" cy="325755"/>
                        </a:xfrm>
                        <a:prstGeom prst="rect">
                          <a:avLst/>
                        </a:prstGeom>
                        <a:ln/>
                      </pic:spPr>
                    </pic:pic>
                  </a:graphicData>
                </a:graphic>
              </wp:inline>
            </w:drawing>
          </w:r>
        </w:p>
      </w:tc>
    </w:tr>
    <w:tr w:rsidR="002012D8" w14:paraId="0B63E123" w14:textId="77777777">
      <w:trPr>
        <w:cantSplit/>
        <w:trHeight w:val="316"/>
      </w:trPr>
      <w:tc>
        <w:tcPr>
          <w:tcW w:w="2722" w:type="dxa"/>
          <w:vMerge/>
          <w:vAlign w:val="center"/>
        </w:tcPr>
        <w:p w14:paraId="000000D9" w14:textId="77777777" w:rsidR="002012D8" w:rsidRDefault="002012D8">
          <w:pPr>
            <w:widowControl w:val="0"/>
            <w:pBdr>
              <w:top w:val="nil"/>
              <w:left w:val="nil"/>
              <w:bottom w:val="nil"/>
              <w:right w:val="nil"/>
              <w:between w:val="nil"/>
            </w:pBdr>
            <w:spacing w:line="276" w:lineRule="auto"/>
            <w:rPr>
              <w:b/>
              <w:bCs/>
            </w:rPr>
          </w:pPr>
        </w:p>
      </w:tc>
      <w:tc>
        <w:tcPr>
          <w:tcW w:w="6209" w:type="dxa"/>
          <w:shd w:val="clear" w:color="auto" w:fill="E1E1E1"/>
        </w:tcPr>
        <w:p w14:paraId="000000DA" w14:textId="77777777" w:rsidR="002012D8" w:rsidRDefault="0019396C">
          <w:pPr>
            <w:ind w:right="-42"/>
            <w:jc w:val="center"/>
          </w:pPr>
          <w:r>
            <w:rPr>
              <w:b/>
              <w:bCs/>
            </w:rPr>
            <w:t xml:space="preserve">Proceso: </w:t>
          </w:r>
          <w:r>
            <w:t>Gestión jurídica</w:t>
          </w:r>
        </w:p>
      </w:tc>
      <w:tc>
        <w:tcPr>
          <w:tcW w:w="1843" w:type="dxa"/>
          <w:vMerge/>
          <w:vAlign w:val="center"/>
        </w:tcPr>
        <w:p w14:paraId="000000DB" w14:textId="77777777" w:rsidR="002012D8" w:rsidRDefault="002012D8">
          <w:pPr>
            <w:widowControl w:val="0"/>
            <w:pBdr>
              <w:top w:val="nil"/>
              <w:left w:val="nil"/>
              <w:bottom w:val="nil"/>
              <w:right w:val="nil"/>
              <w:between w:val="nil"/>
            </w:pBdr>
            <w:spacing w:line="276" w:lineRule="auto"/>
          </w:pPr>
        </w:p>
      </w:tc>
    </w:tr>
    <w:tr w:rsidR="002012D8" w14:paraId="11C0A54E" w14:textId="77777777">
      <w:trPr>
        <w:cantSplit/>
        <w:trHeight w:val="339"/>
      </w:trPr>
      <w:tc>
        <w:tcPr>
          <w:tcW w:w="2722" w:type="dxa"/>
          <w:vAlign w:val="center"/>
        </w:tcPr>
        <w:p w14:paraId="000000DC" w14:textId="77777777" w:rsidR="002012D8" w:rsidRDefault="0019396C">
          <w:pPr>
            <w:jc w:val="center"/>
            <w:rPr>
              <w:sz w:val="16"/>
              <w:szCs w:val="16"/>
            </w:rPr>
          </w:pPr>
          <w:r>
            <w:rPr>
              <w:b/>
              <w:bCs/>
              <w:sz w:val="16"/>
              <w:szCs w:val="16"/>
            </w:rPr>
            <w:t>Versión</w:t>
          </w:r>
          <w:r>
            <w:rPr>
              <w:sz w:val="16"/>
              <w:szCs w:val="16"/>
            </w:rPr>
            <w:t>: 4</w:t>
          </w:r>
        </w:p>
      </w:tc>
      <w:tc>
        <w:tcPr>
          <w:tcW w:w="6209" w:type="dxa"/>
        </w:tcPr>
        <w:p w14:paraId="000000DD" w14:textId="77777777" w:rsidR="002012D8" w:rsidRDefault="0019396C">
          <w:pPr>
            <w:ind w:right="-42"/>
            <w:jc w:val="center"/>
            <w:rPr>
              <w:sz w:val="16"/>
              <w:szCs w:val="16"/>
            </w:rPr>
          </w:pPr>
          <w:r>
            <w:rPr>
              <w:b/>
              <w:bCs/>
              <w:sz w:val="16"/>
              <w:szCs w:val="16"/>
            </w:rPr>
            <w:t>Vigencia</w:t>
          </w:r>
          <w:r>
            <w:rPr>
              <w:sz w:val="16"/>
              <w:szCs w:val="16"/>
            </w:rPr>
            <w:t>: 25/11/2022</w:t>
          </w:r>
        </w:p>
      </w:tc>
      <w:tc>
        <w:tcPr>
          <w:tcW w:w="1843" w:type="dxa"/>
          <w:vAlign w:val="center"/>
        </w:tcPr>
        <w:p w14:paraId="000000DE" w14:textId="77777777" w:rsidR="002012D8" w:rsidRDefault="0019396C">
          <w:pPr>
            <w:ind w:right="-42"/>
            <w:jc w:val="center"/>
            <w:rPr>
              <w:sz w:val="16"/>
              <w:szCs w:val="16"/>
            </w:rPr>
          </w:pPr>
          <w:r>
            <w:rPr>
              <w:b/>
              <w:bCs/>
              <w:sz w:val="16"/>
              <w:szCs w:val="16"/>
            </w:rPr>
            <w:t>Código:</w:t>
          </w:r>
          <w:r>
            <w:rPr>
              <w:sz w:val="16"/>
              <w:szCs w:val="16"/>
            </w:rPr>
            <w:t xml:space="preserve"> F-A-GJR-07</w:t>
          </w:r>
        </w:p>
      </w:tc>
    </w:tr>
  </w:tbl>
  <w:p w14:paraId="000000DF" w14:textId="77777777" w:rsidR="002012D8" w:rsidRDefault="0019396C">
    <w:pPr>
      <w:pBdr>
        <w:top w:val="nil"/>
        <w:left w:val="nil"/>
        <w:bottom w:val="nil"/>
        <w:right w:val="nil"/>
        <w:between w:val="nil"/>
      </w:pBdr>
      <w:tabs>
        <w:tab w:val="center" w:pos="4252"/>
        <w:tab w:val="right" w:pos="8504"/>
      </w:tabs>
      <w:rPr>
        <w:color w:val="000000"/>
      </w:rPr>
    </w:pPr>
    <w:r>
      <w:rPr>
        <w:noProof/>
      </w:rPr>
      <w:drawing>
        <wp:anchor distT="0" distB="0" distL="0" distR="0" simplePos="0" relativeHeight="251656192" behindDoc="1" locked="0" layoutInCell="1" hidden="0" allowOverlap="1" wp14:anchorId="21BE975C" wp14:editId="27C16802">
          <wp:simplePos x="0" y="0"/>
          <wp:positionH relativeFrom="column">
            <wp:posOffset>514350</wp:posOffset>
          </wp:positionH>
          <wp:positionV relativeFrom="paragraph">
            <wp:posOffset>3205480</wp:posOffset>
          </wp:positionV>
          <wp:extent cx="5258435" cy="1586230"/>
          <wp:effectExtent l="0" t="0" r="0" b="0"/>
          <wp:wrapNone/>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
                  <a:srcRect/>
                  <a:stretch>
                    <a:fillRect/>
                  </a:stretch>
                </pic:blipFill>
                <pic:spPr>
                  <a:xfrm>
                    <a:off x="0" y="0"/>
                    <a:ext cx="5258435" cy="158623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E0" w14:textId="77777777" w:rsidR="002012D8" w:rsidRDefault="002012D8">
    <w:pPr>
      <w:widowControl w:val="0"/>
      <w:pBdr>
        <w:top w:val="nil"/>
        <w:left w:val="nil"/>
        <w:bottom w:val="nil"/>
        <w:right w:val="nil"/>
        <w:between w:val="nil"/>
      </w:pBdr>
      <w:spacing w:line="276" w:lineRule="auto"/>
      <w:rPr>
        <w:color w:val="000000"/>
      </w:rPr>
    </w:pPr>
  </w:p>
  <w:tbl>
    <w:tblPr>
      <w:tblStyle w:val="a2"/>
      <w:tblW w:w="11796" w:type="dxa"/>
      <w:tblInd w:w="-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26"/>
      <w:gridCol w:w="4567"/>
      <w:gridCol w:w="3503"/>
    </w:tblGrid>
    <w:tr w:rsidR="002012D8" w14:paraId="55B5ADC7" w14:textId="77777777">
      <w:trPr>
        <w:cantSplit/>
        <w:trHeight w:val="706"/>
      </w:trPr>
      <w:tc>
        <w:tcPr>
          <w:tcW w:w="3726" w:type="dxa"/>
          <w:vMerge w:val="restart"/>
          <w:vAlign w:val="center"/>
        </w:tcPr>
        <w:p w14:paraId="000000E1" w14:textId="77777777" w:rsidR="002012D8" w:rsidRDefault="0019396C">
          <w:pPr>
            <w:jc w:val="center"/>
            <w:rPr>
              <w:rFonts w:ascii="Arial Narrow" w:eastAsia="Arial Narrow" w:hAnsi="Arial Narrow" w:cs="Arial Narrow"/>
              <w:b/>
              <w:bCs/>
            </w:rPr>
          </w:pPr>
          <w:r>
            <w:rPr>
              <w:rFonts w:ascii="Arial Narrow" w:eastAsia="Arial Narrow" w:hAnsi="Arial Narrow" w:cs="Arial Narrow"/>
            </w:rPr>
            <w:t>MINISTERIO DE AMBIENTE Y DESARROLLO SOSTENIBLE</w:t>
          </w:r>
        </w:p>
      </w:tc>
      <w:tc>
        <w:tcPr>
          <w:tcW w:w="4567" w:type="dxa"/>
          <w:shd w:val="clear" w:color="auto" w:fill="4472C4"/>
          <w:vAlign w:val="center"/>
        </w:tcPr>
        <w:p w14:paraId="000000E2" w14:textId="77777777" w:rsidR="002012D8" w:rsidRDefault="0019396C">
          <w:pPr>
            <w:spacing w:before="60"/>
            <w:ind w:right="-40"/>
            <w:jc w:val="center"/>
            <w:rPr>
              <w:rFonts w:ascii="Arial Narrow" w:eastAsia="Arial Narrow" w:hAnsi="Arial Narrow" w:cs="Arial Narrow"/>
              <w:b/>
              <w:bCs/>
              <w:color w:val="FFFFFF"/>
              <w:sz w:val="24"/>
              <w:szCs w:val="24"/>
            </w:rPr>
          </w:pPr>
          <w:r>
            <w:rPr>
              <w:rFonts w:ascii="Arial Narrow" w:eastAsia="Arial Narrow" w:hAnsi="Arial Narrow" w:cs="Arial Narrow"/>
              <w:b/>
              <w:bCs/>
              <w:color w:val="FFFFFF"/>
              <w:sz w:val="24"/>
              <w:szCs w:val="24"/>
            </w:rPr>
            <w:t>MEMORIA JUSTIFICATIVA</w:t>
          </w:r>
        </w:p>
      </w:tc>
      <w:tc>
        <w:tcPr>
          <w:tcW w:w="3503" w:type="dxa"/>
          <w:vMerge w:val="restart"/>
          <w:vAlign w:val="center"/>
        </w:tcPr>
        <w:p w14:paraId="000000E3" w14:textId="77777777" w:rsidR="002012D8" w:rsidRDefault="0019396C">
          <w:pPr>
            <w:ind w:right="-42"/>
            <w:jc w:val="center"/>
            <w:rPr>
              <w:rFonts w:ascii="Arial Narrow" w:eastAsia="Arial Narrow" w:hAnsi="Arial Narrow" w:cs="Arial Narrow"/>
              <w:b/>
              <w:bCs/>
            </w:rPr>
          </w:pPr>
          <w:r>
            <w:rPr>
              <w:noProof/>
            </w:rPr>
            <w:drawing>
              <wp:anchor distT="0" distB="0" distL="114300" distR="114300" simplePos="0" relativeHeight="251657216" behindDoc="0" locked="0" layoutInCell="1" hidden="0" allowOverlap="1" wp14:anchorId="41BFE86C" wp14:editId="7A444CF3">
                <wp:simplePos x="0" y="0"/>
                <wp:positionH relativeFrom="column">
                  <wp:posOffset>233679</wp:posOffset>
                </wp:positionH>
                <wp:positionV relativeFrom="paragraph">
                  <wp:posOffset>0</wp:posOffset>
                </wp:positionV>
                <wp:extent cx="1536700" cy="398780"/>
                <wp:effectExtent l="0" t="0" r="0" b="0"/>
                <wp:wrapSquare wrapText="bothSides" distT="0" distB="0" distL="114300" distR="11430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36700" cy="398780"/>
                        </a:xfrm>
                        <a:prstGeom prst="rect">
                          <a:avLst/>
                        </a:prstGeom>
                        <a:ln/>
                      </pic:spPr>
                    </pic:pic>
                  </a:graphicData>
                </a:graphic>
              </wp:anchor>
            </w:drawing>
          </w:r>
        </w:p>
      </w:tc>
    </w:tr>
    <w:tr w:rsidR="002012D8" w14:paraId="35D894CB" w14:textId="77777777">
      <w:trPr>
        <w:cantSplit/>
        <w:trHeight w:val="273"/>
      </w:trPr>
      <w:tc>
        <w:tcPr>
          <w:tcW w:w="3726" w:type="dxa"/>
          <w:vMerge/>
          <w:vAlign w:val="center"/>
        </w:tcPr>
        <w:p w14:paraId="000000E4" w14:textId="77777777" w:rsidR="002012D8" w:rsidRDefault="002012D8">
          <w:pPr>
            <w:widowControl w:val="0"/>
            <w:pBdr>
              <w:top w:val="nil"/>
              <w:left w:val="nil"/>
              <w:bottom w:val="nil"/>
              <w:right w:val="nil"/>
              <w:between w:val="nil"/>
            </w:pBdr>
            <w:spacing w:line="276" w:lineRule="auto"/>
            <w:rPr>
              <w:rFonts w:ascii="Arial Narrow" w:eastAsia="Arial Narrow" w:hAnsi="Arial Narrow" w:cs="Arial Narrow"/>
              <w:b/>
              <w:bCs/>
            </w:rPr>
          </w:pPr>
        </w:p>
      </w:tc>
      <w:tc>
        <w:tcPr>
          <w:tcW w:w="4567" w:type="dxa"/>
          <w:shd w:val="clear" w:color="auto" w:fill="E6EFFD"/>
          <w:vAlign w:val="center"/>
        </w:tcPr>
        <w:p w14:paraId="000000E5" w14:textId="77777777" w:rsidR="002012D8" w:rsidRDefault="0019396C">
          <w:pPr>
            <w:ind w:right="-42"/>
            <w:jc w:val="center"/>
            <w:rPr>
              <w:rFonts w:ascii="Arial Narrow" w:eastAsia="Arial Narrow" w:hAnsi="Arial Narrow" w:cs="Arial Narrow"/>
            </w:rPr>
          </w:pPr>
          <w:r>
            <w:rPr>
              <w:rFonts w:ascii="Arial Narrow" w:eastAsia="Arial Narrow" w:hAnsi="Arial Narrow" w:cs="Arial Narrow"/>
              <w:b/>
              <w:bCs/>
            </w:rPr>
            <w:t>Proceso:</w:t>
          </w:r>
          <w:r>
            <w:rPr>
              <w:rFonts w:ascii="Arial Narrow" w:eastAsia="Arial Narrow" w:hAnsi="Arial Narrow" w:cs="Arial Narrow"/>
            </w:rPr>
            <w:t xml:space="preserve"> Gestión Jurídica</w:t>
          </w:r>
        </w:p>
      </w:tc>
      <w:tc>
        <w:tcPr>
          <w:tcW w:w="3503" w:type="dxa"/>
          <w:vMerge/>
          <w:vAlign w:val="center"/>
        </w:tcPr>
        <w:p w14:paraId="000000E6" w14:textId="77777777" w:rsidR="002012D8" w:rsidRDefault="002012D8">
          <w:pPr>
            <w:widowControl w:val="0"/>
            <w:pBdr>
              <w:top w:val="nil"/>
              <w:left w:val="nil"/>
              <w:bottom w:val="nil"/>
              <w:right w:val="nil"/>
              <w:between w:val="nil"/>
            </w:pBdr>
            <w:spacing w:line="276" w:lineRule="auto"/>
            <w:rPr>
              <w:rFonts w:ascii="Arial Narrow" w:eastAsia="Arial Narrow" w:hAnsi="Arial Narrow" w:cs="Arial Narrow"/>
            </w:rPr>
          </w:pPr>
        </w:p>
      </w:tc>
    </w:tr>
    <w:tr w:rsidR="002012D8" w14:paraId="50D0FFFE" w14:textId="77777777">
      <w:trPr>
        <w:cantSplit/>
        <w:trHeight w:val="278"/>
      </w:trPr>
      <w:tc>
        <w:tcPr>
          <w:tcW w:w="3726" w:type="dxa"/>
          <w:vAlign w:val="center"/>
        </w:tcPr>
        <w:p w14:paraId="000000E7" w14:textId="77777777" w:rsidR="002012D8" w:rsidRDefault="0019396C">
          <w:pPr>
            <w:jc w:val="center"/>
            <w:rPr>
              <w:rFonts w:ascii="Arial Narrow" w:eastAsia="Arial Narrow" w:hAnsi="Arial Narrow" w:cs="Arial Narrow"/>
              <w:color w:val="FF0000"/>
            </w:rPr>
          </w:pPr>
          <w:r>
            <w:rPr>
              <w:rFonts w:ascii="Arial Narrow" w:eastAsia="Arial Narrow" w:hAnsi="Arial Narrow" w:cs="Arial Narrow"/>
              <w:b/>
              <w:bCs/>
              <w:color w:val="FF0000"/>
            </w:rPr>
            <w:t>Versión:</w:t>
          </w:r>
          <w:r>
            <w:rPr>
              <w:rFonts w:ascii="Arial Narrow" w:eastAsia="Arial Narrow" w:hAnsi="Arial Narrow" w:cs="Arial Narrow"/>
              <w:color w:val="FF0000"/>
            </w:rPr>
            <w:t xml:space="preserve"> 3</w:t>
          </w:r>
        </w:p>
      </w:tc>
      <w:tc>
        <w:tcPr>
          <w:tcW w:w="4567" w:type="dxa"/>
          <w:vAlign w:val="center"/>
        </w:tcPr>
        <w:p w14:paraId="000000E8" w14:textId="77777777" w:rsidR="002012D8" w:rsidRDefault="0019396C">
          <w:pPr>
            <w:ind w:right="-42"/>
            <w:jc w:val="center"/>
            <w:rPr>
              <w:rFonts w:ascii="Arial Narrow" w:eastAsia="Arial Narrow" w:hAnsi="Arial Narrow" w:cs="Arial Narrow"/>
              <w:color w:val="FF0000"/>
            </w:rPr>
          </w:pPr>
          <w:r>
            <w:rPr>
              <w:rFonts w:ascii="Arial Narrow" w:eastAsia="Arial Narrow" w:hAnsi="Arial Narrow" w:cs="Arial Narrow"/>
              <w:b/>
              <w:bCs/>
              <w:color w:val="FF0000"/>
            </w:rPr>
            <w:t>Vigencia:</w:t>
          </w:r>
          <w:r>
            <w:rPr>
              <w:rFonts w:ascii="Arial Narrow" w:eastAsia="Arial Narrow" w:hAnsi="Arial Narrow" w:cs="Arial Narrow"/>
              <w:color w:val="FF0000"/>
            </w:rPr>
            <w:t xml:space="preserve"> 15/10/2020</w:t>
          </w:r>
        </w:p>
      </w:tc>
      <w:tc>
        <w:tcPr>
          <w:tcW w:w="3503" w:type="dxa"/>
          <w:vAlign w:val="center"/>
        </w:tcPr>
        <w:p w14:paraId="000000E9" w14:textId="77777777" w:rsidR="002012D8" w:rsidRDefault="0019396C">
          <w:pPr>
            <w:ind w:right="-42"/>
            <w:jc w:val="center"/>
            <w:rPr>
              <w:rFonts w:ascii="Arial Narrow" w:eastAsia="Arial Narrow" w:hAnsi="Arial Narrow" w:cs="Arial Narrow"/>
              <w:color w:val="FF0000"/>
            </w:rPr>
          </w:pPr>
          <w:r>
            <w:rPr>
              <w:rFonts w:ascii="Arial Narrow" w:eastAsia="Arial Narrow" w:hAnsi="Arial Narrow" w:cs="Arial Narrow"/>
              <w:b/>
              <w:bCs/>
              <w:color w:val="FF0000"/>
            </w:rPr>
            <w:t>Código:</w:t>
          </w:r>
          <w:r>
            <w:rPr>
              <w:rFonts w:ascii="Arial Narrow" w:eastAsia="Arial Narrow" w:hAnsi="Arial Narrow" w:cs="Arial Narrow"/>
              <w:color w:val="FF0000"/>
            </w:rPr>
            <w:t xml:space="preserve"> F-A-GJR-07</w:t>
          </w:r>
        </w:p>
      </w:tc>
    </w:tr>
  </w:tbl>
  <w:p w14:paraId="000000EA" w14:textId="77777777" w:rsidR="002012D8" w:rsidRDefault="00000000">
    <w:pPr>
      <w:pBdr>
        <w:top w:val="nil"/>
        <w:left w:val="nil"/>
        <w:bottom w:val="nil"/>
        <w:right w:val="nil"/>
        <w:between w:val="nil"/>
      </w:pBdr>
      <w:tabs>
        <w:tab w:val="center" w:pos="4252"/>
        <w:tab w:val="right" w:pos="8504"/>
      </w:tabs>
      <w:rPr>
        <w:color w:val="000000"/>
      </w:rPr>
    </w:pPr>
    <w:r>
      <w:rPr>
        <w:rFonts w:ascii="Arial Narrow" w:eastAsia="Arial Narrow" w:hAnsi="Arial Narrow" w:cs="Arial Narrow"/>
        <w:color w:val="000000"/>
      </w:rPr>
      <w:pict w14:anchorId="7CF9A1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6" type="#_x0000_t75" alt="" style="position:absolute;margin-left:0;margin-top:0;width:496.05pt;height:149.6pt;z-index:-251658240;mso-position-horizontal:center;mso-position-horizontal-relative:margin;mso-position-vertical:center;mso-position-vertical-relative:margin">
          <v:imagedata r:id="rId2" o:title="image5"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454966"/>
    <w:multiLevelType w:val="multilevel"/>
    <w:tmpl w:val="1918FE48"/>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50A91FBF"/>
    <w:multiLevelType w:val="multilevel"/>
    <w:tmpl w:val="37566C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5748336C"/>
    <w:multiLevelType w:val="multilevel"/>
    <w:tmpl w:val="FF12FF46"/>
    <w:lvl w:ilvl="0">
      <w:start w:val="3"/>
      <w:numFmt w:val="bullet"/>
      <w:lvlText w:val="●"/>
      <w:lvlJc w:val="left"/>
      <w:pPr>
        <w:ind w:left="720" w:hanging="360"/>
      </w:pPr>
      <w:rPr>
        <w:rFonts w:ascii="Noto Sans Symbols" w:eastAsia="Noto Sans Symbols" w:hAnsi="Noto Sans Symbols" w:cs="Noto Sans Symbols"/>
        <w:i/>
        <w:iC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628509730">
    <w:abstractNumId w:val="0"/>
  </w:num>
  <w:num w:numId="2" w16cid:durableId="1623458978">
    <w:abstractNumId w:val="1"/>
  </w:num>
  <w:num w:numId="3" w16cid:durableId="186142826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12D8"/>
    <w:rsid w:val="0019396C"/>
    <w:rsid w:val="002012D8"/>
    <w:rsid w:val="0027377E"/>
    <w:rsid w:val="00477921"/>
    <w:rsid w:val="00625A51"/>
    <w:rsid w:val="00783EED"/>
    <w:rsid w:val="00907A66"/>
    <w:rsid w:val="00BD0729"/>
    <w:rsid w:val="00C050B3"/>
    <w:rsid w:val="00E950FC"/>
    <w:rsid w:val="00F764D9"/>
    <w:rsid w:val="00FA75E9"/>
    <w:rsid w:val="00FB4D29"/>
    <w:rsid w:val="00FC07B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58D83F"/>
  <w15:docId w15:val="{EDBA291A-70BA-44D8-8285-7A35DEB8BB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spacing w:before="240" w:after="60"/>
      <w:outlineLvl w:val="0"/>
    </w:pPr>
    <w:rPr>
      <w:b/>
      <w:bCs/>
      <w:color w:val="000080"/>
      <w:sz w:val="28"/>
      <w:szCs w:val="28"/>
    </w:rPr>
  </w:style>
  <w:style w:type="paragraph" w:styleId="Ttulo2">
    <w:name w:val="heading 2"/>
    <w:basedOn w:val="Normal"/>
    <w:next w:val="Normal"/>
    <w:uiPriority w:val="9"/>
    <w:unhideWhenUsed/>
    <w:qFormat/>
    <w:pPr>
      <w:keepNext/>
      <w:jc w:val="center"/>
      <w:outlineLvl w:val="1"/>
    </w:pPr>
    <w:rPr>
      <w:b/>
      <w:bCs/>
    </w:rPr>
  </w:style>
  <w:style w:type="paragraph" w:styleId="Ttulo3">
    <w:name w:val="heading 3"/>
    <w:basedOn w:val="Normal"/>
    <w:next w:val="Normal"/>
    <w:uiPriority w:val="9"/>
    <w:semiHidden/>
    <w:unhideWhenUsed/>
    <w:qFormat/>
    <w:pPr>
      <w:keepNext/>
      <w:jc w:val="center"/>
      <w:outlineLvl w:val="2"/>
    </w:pPr>
    <w:rPr>
      <w:rFonts w:ascii="Tahoma" w:eastAsia="Tahoma" w:hAnsi="Tahoma" w:cs="Tahoma"/>
      <w:b/>
      <w:bCs/>
      <w:sz w:val="18"/>
      <w:szCs w:val="1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jc w:val="center"/>
    </w:pPr>
    <w:rPr>
      <w:b/>
      <w:bCs/>
      <w:sz w:val="32"/>
      <w:szCs w:val="3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57" w:type="dxa"/>
        <w:left w:w="85" w:type="dxa"/>
        <w:bottom w:w="57" w:type="dxa"/>
        <w:right w:w="8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paragraph" w:styleId="Textocomentario">
    <w:name w:val="annotation text"/>
    <w:basedOn w:val="Normal"/>
    <w:link w:val="TextocomentarioCar"/>
    <w:uiPriority w:val="99"/>
    <w:semiHidden/>
    <w:unhideWhenUsed/>
  </w:style>
  <w:style w:type="character" w:customStyle="1" w:styleId="TextocomentarioCar">
    <w:name w:val="Texto comentario Car"/>
    <w:basedOn w:val="Fuentedeprrafopredeter"/>
    <w:link w:val="Textocomentario"/>
    <w:uiPriority w:val="99"/>
    <w:semiHidden/>
  </w:style>
  <w:style w:type="character" w:styleId="Refdecomentario">
    <w:name w:val="annotation reference"/>
    <w:basedOn w:val="Fuentedeprrafopredeter"/>
    <w:uiPriority w:val="99"/>
    <w:semiHidden/>
    <w:unhideWhenUsed/>
    <w:rPr>
      <w:sz w:val="16"/>
      <w:szCs w:val="16"/>
    </w:rPr>
  </w:style>
  <w:style w:type="paragraph" w:styleId="Textodeglobo">
    <w:name w:val="Balloon Text"/>
    <w:basedOn w:val="Normal"/>
    <w:link w:val="TextodegloboCar"/>
    <w:uiPriority w:val="99"/>
    <w:semiHidden/>
    <w:unhideWhenUsed/>
    <w:rsid w:val="00477921"/>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77921"/>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www.minambiente.gov.co"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minambiente.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Gc4UBJrNCbC4wzRgqujgvUFK3g==">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3878</Words>
  <Characters>21333</Characters>
  <Application>Microsoft Office Word</Application>
  <DocSecurity>0</DocSecurity>
  <Lines>177</Lines>
  <Paragraphs>50</Paragraphs>
  <ScaleCrop>false</ScaleCrop>
  <HeadingPairs>
    <vt:vector size="2" baseType="variant">
      <vt:variant>
        <vt:lpstr>Título</vt:lpstr>
      </vt:variant>
      <vt:variant>
        <vt:i4>1</vt:i4>
      </vt:variant>
    </vt:vector>
  </HeadingPairs>
  <TitlesOfParts>
    <vt:vector size="1" baseType="lpstr">
      <vt:lpstr/>
    </vt:vector>
  </TitlesOfParts>
  <Company>PNNC</Company>
  <LinksUpToDate>false</LinksUpToDate>
  <CharactersWithSpaces>25161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TANIA ALEXANDRA TORRES RODRIGUEZ</dc:creator>
  <cp:lastModifiedBy>Monica Maria Muñoz Buitrago</cp:lastModifiedBy>
  <cp:revision>2</cp:revision>
  <dcterms:created xsi:type="dcterms:W3CDTF">2026-07-23T00:03:00Z</dcterms:created>
  <dcterms:modified xsi:type="dcterms:W3CDTF">2026-07-23T00:03:00Z</dcterms:modified>
</cp:coreProperties>
</file>